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328E" w:rsidRDefault="008B328E" w:rsidP="00654B12">
      <w:pPr>
        <w:pStyle w:val="BodyText"/>
        <w:rPr>
          <w:rFonts w:ascii="Tahoma" w:hAnsi="Tahoma"/>
          <w:b/>
          <w:sz w:val="16"/>
        </w:rPr>
      </w:pPr>
      <w:r>
        <w:rPr>
          <w:rFonts w:ascii="Tahoma" w:hAnsi="Tahoma"/>
          <w:b/>
          <w:sz w:val="16"/>
        </w:rPr>
        <w:t>P.O Box 19056, Courtenay Place, Wellington.</w:t>
      </w:r>
    </w:p>
    <w:p w:rsidR="008B328E" w:rsidRDefault="008B328E" w:rsidP="00BE4001">
      <w:pPr>
        <w:autoSpaceDE w:val="0"/>
        <w:spacing w:after="0"/>
        <w:rPr>
          <w:rFonts w:ascii="Arial" w:hAnsi="Arial" w:cs="CenturyGothic"/>
          <w:sz w:val="22"/>
          <w:szCs w:val="30"/>
          <w:lang w:val="en-US" w:eastAsia="en-US"/>
        </w:rPr>
      </w:pPr>
    </w:p>
    <w:p w:rsidR="009F09DF" w:rsidRPr="009F09DF" w:rsidRDefault="009F09DF" w:rsidP="009F09DF">
      <w:pPr>
        <w:spacing w:after="0" w:line="280" w:lineRule="exact"/>
        <w:rPr>
          <w:rFonts w:ascii="Arial" w:hAnsi="Arial" w:cs="Arial"/>
          <w:sz w:val="21"/>
          <w:szCs w:val="21"/>
        </w:rPr>
      </w:pPr>
      <w:r w:rsidRPr="009F09DF">
        <w:rPr>
          <w:rFonts w:ascii="Arial" w:hAnsi="Arial" w:cs="Arial"/>
          <w:sz w:val="21"/>
          <w:szCs w:val="21"/>
        </w:rPr>
        <w:t>2 March 2015</w:t>
      </w:r>
    </w:p>
    <w:p w:rsidR="009F09DF" w:rsidRPr="009F09DF" w:rsidRDefault="009F09DF" w:rsidP="009F09DF">
      <w:pPr>
        <w:spacing w:after="0" w:line="280" w:lineRule="exact"/>
        <w:rPr>
          <w:rFonts w:ascii="Arial" w:hAnsi="Arial" w:cs="Arial"/>
          <w:sz w:val="21"/>
          <w:szCs w:val="21"/>
        </w:rPr>
      </w:pPr>
    </w:p>
    <w:p w:rsidR="009F09DF" w:rsidRPr="009F09DF" w:rsidRDefault="009F09DF" w:rsidP="009F09DF">
      <w:pPr>
        <w:autoSpaceDE w:val="0"/>
        <w:spacing w:after="0" w:line="280" w:lineRule="exact"/>
        <w:rPr>
          <w:rFonts w:ascii="Arial" w:hAnsi="Arial" w:cs="Arial"/>
          <w:sz w:val="21"/>
          <w:szCs w:val="21"/>
        </w:rPr>
      </w:pPr>
      <w:r w:rsidRPr="009F09DF">
        <w:rPr>
          <w:rFonts w:ascii="Arial" w:hAnsi="Arial" w:cs="Arial"/>
          <w:sz w:val="21"/>
          <w:szCs w:val="21"/>
        </w:rPr>
        <w:t>Contact: Craig Palmer, Acting President</w:t>
      </w:r>
    </w:p>
    <w:p w:rsidR="009F09DF" w:rsidRPr="009F09DF" w:rsidRDefault="009F09DF" w:rsidP="009F09DF">
      <w:pPr>
        <w:autoSpaceDE w:val="0"/>
        <w:spacing w:after="0" w:line="280" w:lineRule="exact"/>
        <w:rPr>
          <w:rFonts w:ascii="Arial" w:hAnsi="Arial" w:cs="Arial"/>
          <w:sz w:val="21"/>
          <w:szCs w:val="21"/>
        </w:rPr>
      </w:pPr>
      <w:r w:rsidRPr="009F09DF">
        <w:rPr>
          <w:rFonts w:ascii="Arial" w:hAnsi="Arial" w:cs="Arial"/>
          <w:sz w:val="21"/>
          <w:szCs w:val="21"/>
        </w:rPr>
        <w:tab/>
        <w:t xml:space="preserve">   29 Moir St, Mt Victoria, Wellington 6011</w:t>
      </w:r>
    </w:p>
    <w:p w:rsidR="009F09DF" w:rsidRPr="009F09DF" w:rsidRDefault="009F09DF" w:rsidP="009F09DF">
      <w:pPr>
        <w:autoSpaceDE w:val="0"/>
        <w:spacing w:after="0" w:line="280" w:lineRule="exact"/>
        <w:ind w:firstLine="720"/>
        <w:rPr>
          <w:rFonts w:ascii="Arial" w:hAnsi="Arial" w:cs="Arial"/>
          <w:sz w:val="21"/>
          <w:szCs w:val="21"/>
        </w:rPr>
      </w:pPr>
      <w:r w:rsidRPr="009F09DF">
        <w:rPr>
          <w:rFonts w:ascii="Arial" w:hAnsi="Arial" w:cs="Arial"/>
          <w:sz w:val="21"/>
          <w:szCs w:val="21"/>
        </w:rPr>
        <w:t xml:space="preserve">   Phone: (04) 384 2127</w:t>
      </w:r>
    </w:p>
    <w:p w:rsidR="009F09DF" w:rsidRPr="009F09DF" w:rsidRDefault="009F09DF" w:rsidP="009F09DF">
      <w:pPr>
        <w:spacing w:after="0" w:line="280" w:lineRule="exact"/>
        <w:ind w:firstLine="720"/>
        <w:rPr>
          <w:rFonts w:ascii="Arial" w:hAnsi="Arial" w:cs="Arial"/>
          <w:sz w:val="21"/>
          <w:szCs w:val="21"/>
        </w:rPr>
      </w:pPr>
      <w:r w:rsidRPr="009F09DF">
        <w:rPr>
          <w:rFonts w:ascii="Arial" w:hAnsi="Arial" w:cs="Arial"/>
          <w:sz w:val="21"/>
          <w:szCs w:val="21"/>
        </w:rPr>
        <w:t xml:space="preserve">   Email:    palmerspring@actrix.co.nz</w:t>
      </w:r>
    </w:p>
    <w:p w:rsidR="009F09DF" w:rsidRPr="009F09DF" w:rsidRDefault="009F09DF" w:rsidP="009F09DF">
      <w:pPr>
        <w:autoSpaceDE w:val="0"/>
        <w:spacing w:after="0" w:line="280" w:lineRule="exact"/>
        <w:ind w:firstLine="720"/>
        <w:rPr>
          <w:rFonts w:ascii="Arial" w:hAnsi="Arial" w:cs="Arial"/>
          <w:sz w:val="21"/>
          <w:szCs w:val="21"/>
        </w:rPr>
      </w:pPr>
    </w:p>
    <w:p w:rsidR="009F09DF" w:rsidRPr="009F09DF" w:rsidRDefault="009F09DF" w:rsidP="009F09DF">
      <w:pPr>
        <w:spacing w:after="0" w:line="280" w:lineRule="exact"/>
        <w:rPr>
          <w:rFonts w:ascii="Arial" w:hAnsi="Arial" w:cs="Arial"/>
          <w:sz w:val="21"/>
          <w:szCs w:val="21"/>
        </w:rPr>
      </w:pPr>
      <w:r w:rsidRPr="009F09DF">
        <w:rPr>
          <w:rFonts w:ascii="Arial" w:hAnsi="Arial" w:cs="Arial"/>
          <w:sz w:val="21"/>
          <w:szCs w:val="21"/>
        </w:rPr>
        <w:t>Local Government Commission</w:t>
      </w:r>
    </w:p>
    <w:p w:rsidR="009F09DF" w:rsidRPr="009F09DF" w:rsidRDefault="009F09DF" w:rsidP="009F09DF">
      <w:pPr>
        <w:spacing w:after="0" w:line="280" w:lineRule="exact"/>
        <w:rPr>
          <w:rFonts w:ascii="Arial" w:hAnsi="Arial" w:cs="Arial"/>
          <w:sz w:val="21"/>
          <w:szCs w:val="21"/>
        </w:rPr>
      </w:pPr>
      <w:r w:rsidRPr="009F09DF">
        <w:rPr>
          <w:rFonts w:ascii="Arial" w:hAnsi="Arial" w:cs="Arial"/>
          <w:sz w:val="21"/>
          <w:szCs w:val="21"/>
        </w:rPr>
        <w:t>PO Box 5362</w:t>
      </w:r>
    </w:p>
    <w:p w:rsidR="009F09DF" w:rsidRPr="009F09DF" w:rsidRDefault="009F09DF" w:rsidP="009F09DF">
      <w:pPr>
        <w:spacing w:after="0" w:line="280" w:lineRule="exact"/>
        <w:rPr>
          <w:rFonts w:ascii="Arial" w:hAnsi="Arial" w:cs="Arial"/>
          <w:sz w:val="21"/>
          <w:szCs w:val="21"/>
        </w:rPr>
      </w:pPr>
      <w:r w:rsidRPr="009F09DF">
        <w:rPr>
          <w:rFonts w:ascii="Arial" w:hAnsi="Arial" w:cs="Arial"/>
          <w:sz w:val="21"/>
          <w:szCs w:val="21"/>
        </w:rPr>
        <w:t>Wellington 6145</w:t>
      </w:r>
    </w:p>
    <w:p w:rsidR="009F09DF" w:rsidRPr="009F09DF" w:rsidRDefault="009F09DF" w:rsidP="009F09DF">
      <w:pPr>
        <w:spacing w:after="0" w:line="280" w:lineRule="exact"/>
        <w:rPr>
          <w:rFonts w:ascii="Arial" w:hAnsi="Arial" w:cs="Arial"/>
          <w:sz w:val="21"/>
          <w:szCs w:val="21"/>
        </w:rPr>
      </w:pPr>
      <w:r w:rsidRPr="009F09DF">
        <w:rPr>
          <w:rFonts w:ascii="Arial" w:hAnsi="Arial" w:cs="Arial"/>
          <w:sz w:val="21"/>
          <w:szCs w:val="21"/>
        </w:rPr>
        <w:t>Email: submissions@lgc.govt.nz</w:t>
      </w:r>
    </w:p>
    <w:p w:rsidR="009F09DF" w:rsidRPr="009F09DF" w:rsidRDefault="009F09DF" w:rsidP="009F09DF">
      <w:pPr>
        <w:spacing w:after="0" w:line="280" w:lineRule="exact"/>
        <w:rPr>
          <w:rFonts w:ascii="Arial" w:hAnsi="Arial" w:cs="Arial"/>
          <w:sz w:val="21"/>
          <w:szCs w:val="21"/>
        </w:rPr>
      </w:pPr>
    </w:p>
    <w:p w:rsidR="009F09DF" w:rsidRPr="00645859" w:rsidRDefault="009F09DF" w:rsidP="009F09DF">
      <w:pPr>
        <w:spacing w:after="0" w:line="280" w:lineRule="exact"/>
        <w:rPr>
          <w:rFonts w:ascii="Arial" w:hAnsi="Arial" w:cs="Arial"/>
          <w:b/>
          <w:sz w:val="24"/>
          <w:szCs w:val="24"/>
        </w:rPr>
      </w:pPr>
      <w:r w:rsidRPr="00645859">
        <w:rPr>
          <w:rFonts w:ascii="Arial" w:hAnsi="Arial" w:cs="Arial"/>
          <w:b/>
          <w:sz w:val="24"/>
          <w:szCs w:val="24"/>
        </w:rPr>
        <w:t xml:space="preserve">Submission on Draft proposal for local government in the Wellington region </w:t>
      </w:r>
    </w:p>
    <w:p w:rsidR="009F09DF" w:rsidRPr="009F09DF" w:rsidRDefault="009F09DF" w:rsidP="009F09DF">
      <w:pPr>
        <w:spacing w:after="0" w:line="280" w:lineRule="exact"/>
        <w:rPr>
          <w:rFonts w:ascii="Arial" w:hAnsi="Arial" w:cs="Arial"/>
          <w:sz w:val="21"/>
          <w:szCs w:val="21"/>
        </w:rPr>
      </w:pP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The Mt Victoria Residents’ Association Incorporated (MVRA) is a local community group whose objectives include to contribute to the wellbeing of residents by encouraging a community spirit and sense of unity, and protecting the quality and heritage values of the built and natural environment of Mt Victoria.</w:t>
      </w:r>
    </w:p>
    <w:p w:rsidR="009F09DF" w:rsidRPr="00645859" w:rsidRDefault="009F09DF" w:rsidP="00645859">
      <w:pPr>
        <w:spacing w:after="0" w:line="240" w:lineRule="auto"/>
        <w:rPr>
          <w:rFonts w:ascii="Arial" w:hAnsi="Arial" w:cs="Arial"/>
          <w:sz w:val="22"/>
          <w:szCs w:val="22"/>
        </w:rPr>
      </w:pP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The MVRA wishes to appear before the Commission in public hearings.</w:t>
      </w:r>
    </w:p>
    <w:p w:rsidR="009F09DF" w:rsidRPr="00645859" w:rsidRDefault="009F09DF" w:rsidP="00645859">
      <w:pPr>
        <w:spacing w:after="0" w:line="240" w:lineRule="auto"/>
        <w:rPr>
          <w:rFonts w:ascii="Arial" w:hAnsi="Arial" w:cs="Arial"/>
          <w:sz w:val="22"/>
          <w:szCs w:val="22"/>
        </w:rPr>
      </w:pP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 xml:space="preserve">We do not support a single council for the Wellington region for the reasons outlined below.  Our view appears to be in line with results from a Nielson survey showing the majority of people across the region oppose a super-city (Dominion Post 25/2/2015). We will certainly call for a poll if the Commission issues a final proposal.  </w:t>
      </w:r>
    </w:p>
    <w:p w:rsidR="009F09DF" w:rsidRPr="00645859" w:rsidRDefault="009F09DF" w:rsidP="00645859">
      <w:pPr>
        <w:spacing w:after="0" w:line="240" w:lineRule="auto"/>
        <w:rPr>
          <w:rFonts w:ascii="Arial" w:hAnsi="Arial" w:cs="Arial"/>
          <w:sz w:val="22"/>
          <w:szCs w:val="22"/>
        </w:rPr>
      </w:pP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 xml:space="preserve">Reference to “the documents” in this submission is to the Commission’s public brochure and Volumes 1 and 2 of its draft proposal.  </w:t>
      </w:r>
    </w:p>
    <w:p w:rsidR="009F09DF" w:rsidRPr="00645859" w:rsidRDefault="009F09DF" w:rsidP="00645859">
      <w:pPr>
        <w:spacing w:after="0" w:line="300" w:lineRule="exact"/>
        <w:rPr>
          <w:rFonts w:ascii="Arial" w:hAnsi="Arial" w:cs="Arial"/>
          <w:sz w:val="22"/>
          <w:szCs w:val="22"/>
        </w:rPr>
      </w:pPr>
    </w:p>
    <w:p w:rsidR="009F09DF" w:rsidRPr="00645859" w:rsidRDefault="009F09DF" w:rsidP="00645859">
      <w:pPr>
        <w:spacing w:after="0" w:line="300" w:lineRule="exact"/>
        <w:rPr>
          <w:rFonts w:ascii="Arial" w:hAnsi="Arial" w:cs="Arial"/>
          <w:b/>
          <w:i/>
          <w:sz w:val="22"/>
          <w:szCs w:val="22"/>
        </w:rPr>
      </w:pPr>
      <w:r w:rsidRPr="00645859">
        <w:rPr>
          <w:rFonts w:ascii="Arial" w:hAnsi="Arial" w:cs="Arial"/>
          <w:b/>
          <w:i/>
          <w:sz w:val="22"/>
          <w:szCs w:val="22"/>
        </w:rPr>
        <w:t>A flawed approach</w:t>
      </w: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The analysis for the proposal has been very thorough but is based on a flawed approach.  The Commission has started from the premise that there is “demonstrable community support” for local government</w:t>
      </w:r>
      <w:r w:rsidRPr="00645859">
        <w:rPr>
          <w:rFonts w:ascii="Arial" w:hAnsi="Arial" w:cs="Arial"/>
          <w:sz w:val="22"/>
          <w:szCs w:val="22"/>
          <w:lang w:val="en-NZ"/>
        </w:rPr>
        <w:t xml:space="preserve"> reorganisation</w:t>
      </w:r>
      <w:r w:rsidRPr="00645859">
        <w:rPr>
          <w:rFonts w:ascii="Arial" w:hAnsi="Arial" w:cs="Arial"/>
          <w:sz w:val="22"/>
          <w:szCs w:val="22"/>
        </w:rPr>
        <w:t>.  This approach has automatically ruled out consideration of the status quo as a “reasonably practicable option“, and so it has not been considered or evaluated alongside the options for change.</w:t>
      </w:r>
    </w:p>
    <w:p w:rsidR="009F09DF" w:rsidRPr="00645859" w:rsidRDefault="009F09DF" w:rsidP="00645859">
      <w:pPr>
        <w:spacing w:after="0" w:line="240" w:lineRule="auto"/>
        <w:rPr>
          <w:rFonts w:ascii="Arial" w:hAnsi="Arial" w:cs="Arial"/>
          <w:sz w:val="22"/>
          <w:szCs w:val="22"/>
        </w:rPr>
      </w:pP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 xml:space="preserve">This approach has resulted in the Commission’s concluding the two-tier option is its preferred option, of options considered, as it provides the greatest scope to improve the performance of local government in the region.  However, it is the most expensive to implement, and offers only the third highest potential financial savings.  </w:t>
      </w:r>
    </w:p>
    <w:p w:rsidR="009F09DF" w:rsidRPr="00645859" w:rsidRDefault="009F09DF" w:rsidP="00645859">
      <w:pPr>
        <w:spacing w:after="0" w:line="300" w:lineRule="exact"/>
        <w:rPr>
          <w:rFonts w:ascii="Arial" w:hAnsi="Arial" w:cs="Arial"/>
          <w:sz w:val="22"/>
          <w:szCs w:val="22"/>
        </w:rPr>
      </w:pPr>
    </w:p>
    <w:p w:rsidR="009F09DF" w:rsidRPr="00645859" w:rsidRDefault="009F09DF" w:rsidP="00645859">
      <w:pPr>
        <w:spacing w:after="0" w:line="300" w:lineRule="exact"/>
        <w:rPr>
          <w:rFonts w:ascii="Arial" w:hAnsi="Arial" w:cs="Arial"/>
          <w:b/>
          <w:i/>
          <w:sz w:val="22"/>
          <w:szCs w:val="22"/>
        </w:rPr>
      </w:pPr>
      <w:r w:rsidRPr="00645859">
        <w:rPr>
          <w:rFonts w:ascii="Arial" w:hAnsi="Arial" w:cs="Arial"/>
          <w:b/>
          <w:i/>
          <w:sz w:val="22"/>
          <w:szCs w:val="22"/>
        </w:rPr>
        <w:t>Why is change necessary?</w:t>
      </w: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The MVRA is not convinced of the need for major change such as the Commission’s proposal.</w:t>
      </w:r>
    </w:p>
    <w:p w:rsidR="009F09DF" w:rsidRPr="00645859" w:rsidRDefault="009F09DF" w:rsidP="00645859">
      <w:pPr>
        <w:spacing w:after="0" w:line="240" w:lineRule="auto"/>
        <w:rPr>
          <w:rFonts w:ascii="Arial" w:hAnsi="Arial" w:cs="Arial"/>
          <w:sz w:val="22"/>
          <w:szCs w:val="22"/>
        </w:rPr>
      </w:pPr>
    </w:p>
    <w:p w:rsidR="001C2283" w:rsidRDefault="009F09DF" w:rsidP="00645859">
      <w:pPr>
        <w:spacing w:after="0" w:line="300" w:lineRule="exact"/>
        <w:rPr>
          <w:rFonts w:ascii="Arial" w:hAnsi="Arial" w:cs="Arial"/>
          <w:sz w:val="22"/>
          <w:szCs w:val="22"/>
        </w:rPr>
      </w:pPr>
      <w:r w:rsidRPr="00645859">
        <w:rPr>
          <w:rFonts w:ascii="Arial" w:hAnsi="Arial" w:cs="Arial"/>
          <w:sz w:val="22"/>
          <w:szCs w:val="22"/>
        </w:rPr>
        <w:t xml:space="preserve">We note the Commission’s view that “On balance the case for change in Wellington is not as </w:t>
      </w:r>
    </w:p>
    <w:p w:rsidR="001C2283" w:rsidRDefault="001C2283" w:rsidP="00645859">
      <w:pPr>
        <w:spacing w:after="0" w:line="300" w:lineRule="exact"/>
        <w:rPr>
          <w:rFonts w:ascii="Arial" w:hAnsi="Arial" w:cs="Arial"/>
          <w:sz w:val="22"/>
          <w:szCs w:val="22"/>
        </w:rPr>
      </w:pP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compelling as it was in Auckland”, as Wellington does not face the growth pressures or have the level of dysfunction Auckland had.  In our view, the difficulties in Wellington lie mainly with the Regional Council’s lack of communication with residents and due consideration of their views, and accountability to them.  Also, the Council’s coercive leadership style has sometimes alienated the local councils from co-operating with it on matters of regional interest and left residents feeling unheard and powerless.  A structural change which puts most of the power in the hands of a unitary council (probably inhabited by the same people who are at the root of the problems) will exacerbate the situation and leave residents feeling even more powerless.</w:t>
      </w:r>
    </w:p>
    <w:p w:rsidR="009F09DF" w:rsidRPr="00645859" w:rsidRDefault="009F09DF" w:rsidP="00645859">
      <w:pPr>
        <w:spacing w:after="0" w:line="240" w:lineRule="auto"/>
        <w:rPr>
          <w:rFonts w:ascii="Arial" w:hAnsi="Arial" w:cs="Arial"/>
          <w:sz w:val="22"/>
          <w:szCs w:val="22"/>
        </w:rPr>
      </w:pP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 xml:space="preserve">The Commission also states the current council structures make it difficult to achieve coordinated responses to the upcoming challenges of infrastructure, demographics, economic development, hazards and environmental management which are regional in scale, nature and effect.  We note that in most of these matters, despite challenges with co-operation, Wellington councils are already acting jointly.  For example, the three waters (Wellington Water), economic development (Wellington Region Economic Development Agency), and transport (the Regional Land Transport Committee).  </w:t>
      </w:r>
    </w:p>
    <w:p w:rsidR="009F09DF" w:rsidRPr="00645859" w:rsidRDefault="009F09DF" w:rsidP="00645859">
      <w:pPr>
        <w:spacing w:after="0" w:line="240" w:lineRule="auto"/>
        <w:rPr>
          <w:rFonts w:ascii="Arial" w:hAnsi="Arial" w:cs="Arial"/>
          <w:sz w:val="22"/>
          <w:szCs w:val="22"/>
        </w:rPr>
      </w:pP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 xml:space="preserve">We argue that it is important to have checks and balances on regional decision-making so that local views are taken seriously.  Disagreement may in fact be healthy debate and a tempering of power, which will not occur in the case of a unitary council.  The proposed local boards will not be in a position to temper council decisions.  An example of the need for checks and balances is the Regional Council’s misguided support for NZTA’s proposed Basin Reserve flyover despite Wellingtonians, and many people living elsewhere, rejecting it in favour of better, lower-cost ground-level improvements.  The Regional Council showed little concern for the adverse effects of the flyover on an area of national heritage significance.  A Board of Inquiry also rejected the flyover.  </w:t>
      </w:r>
    </w:p>
    <w:p w:rsidR="009F09DF" w:rsidRPr="00645859" w:rsidRDefault="009F09DF" w:rsidP="00645859">
      <w:pPr>
        <w:spacing w:after="0" w:line="300" w:lineRule="exact"/>
        <w:rPr>
          <w:rFonts w:ascii="Arial" w:hAnsi="Arial" w:cs="Arial"/>
          <w:sz w:val="22"/>
          <w:szCs w:val="22"/>
        </w:rPr>
      </w:pPr>
    </w:p>
    <w:p w:rsidR="009F09DF" w:rsidRPr="00645859" w:rsidRDefault="009F09DF" w:rsidP="00645859">
      <w:pPr>
        <w:spacing w:after="0" w:line="300" w:lineRule="exact"/>
        <w:rPr>
          <w:rFonts w:ascii="Arial" w:hAnsi="Arial" w:cs="Arial"/>
          <w:b/>
          <w:i/>
          <w:sz w:val="22"/>
          <w:szCs w:val="22"/>
        </w:rPr>
      </w:pPr>
      <w:r w:rsidRPr="00645859">
        <w:rPr>
          <w:rFonts w:ascii="Arial" w:hAnsi="Arial" w:cs="Arial"/>
          <w:b/>
          <w:i/>
          <w:sz w:val="22"/>
          <w:szCs w:val="22"/>
        </w:rPr>
        <w:t>Function before structure</w:t>
      </w: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 xml:space="preserve">The MVRA agrees with the Wellington Region Local Government Review Panel that form (structures and systems) should follow functions (roles, responsibilities, activities and legislated mandates).  Unfortunately, what we are debating looks more like a tinkering around with the Auckland model rather than something workable for the particular circumstances of the Wellington region.  </w:t>
      </w:r>
    </w:p>
    <w:p w:rsidR="009F09DF" w:rsidRPr="00645859" w:rsidRDefault="009F09DF" w:rsidP="00645859">
      <w:pPr>
        <w:spacing w:after="0" w:line="240" w:lineRule="auto"/>
        <w:rPr>
          <w:rFonts w:ascii="Arial" w:hAnsi="Arial" w:cs="Arial"/>
          <w:sz w:val="22"/>
          <w:szCs w:val="22"/>
        </w:rPr>
      </w:pP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While the Commission’s documents show it has done a lot of work on identifying the functions, it appears to have then asked how well they might fit into its reasonably practicable structural options (which do not include the status quo), rather than a more open-ended approach to structure.  In fact the status quo is working reasonably well, and where different geographical groupings for services make sense these have been put in place.</w:t>
      </w:r>
    </w:p>
    <w:p w:rsidR="009F09DF" w:rsidRPr="00645859" w:rsidRDefault="009F09DF" w:rsidP="00645859">
      <w:pPr>
        <w:spacing w:after="0" w:line="300" w:lineRule="exact"/>
        <w:rPr>
          <w:rFonts w:ascii="Arial" w:hAnsi="Arial" w:cs="Arial"/>
          <w:sz w:val="22"/>
          <w:szCs w:val="22"/>
        </w:rPr>
      </w:pPr>
    </w:p>
    <w:p w:rsidR="009F09DF" w:rsidRPr="00645859" w:rsidRDefault="009F09DF" w:rsidP="00645859">
      <w:pPr>
        <w:spacing w:after="0" w:line="300" w:lineRule="exact"/>
        <w:rPr>
          <w:rFonts w:ascii="Arial" w:hAnsi="Arial" w:cs="Arial"/>
          <w:b/>
          <w:i/>
          <w:sz w:val="22"/>
          <w:szCs w:val="22"/>
        </w:rPr>
      </w:pPr>
      <w:r w:rsidRPr="00645859">
        <w:rPr>
          <w:rFonts w:ascii="Arial" w:hAnsi="Arial" w:cs="Arial"/>
          <w:b/>
          <w:i/>
          <w:sz w:val="22"/>
          <w:szCs w:val="22"/>
        </w:rPr>
        <w:t>Proposed structure</w:t>
      </w:r>
    </w:p>
    <w:p w:rsidR="001C2283" w:rsidRDefault="009F09DF" w:rsidP="00645859">
      <w:pPr>
        <w:spacing w:after="0" w:line="300" w:lineRule="exact"/>
        <w:rPr>
          <w:rFonts w:ascii="Arial" w:hAnsi="Arial" w:cs="Arial"/>
          <w:sz w:val="22"/>
          <w:szCs w:val="22"/>
        </w:rPr>
      </w:pPr>
      <w:r w:rsidRPr="00645859">
        <w:rPr>
          <w:rFonts w:ascii="Arial" w:hAnsi="Arial" w:cs="Arial"/>
          <w:sz w:val="22"/>
          <w:szCs w:val="22"/>
        </w:rPr>
        <w:t xml:space="preserve">While the current Regional Council has one Wellington constituency which includes most of the Wellington City Council (WCC) area, the proposed Greater Wellington Council (GWC) splits Wellington into three wards, each with a local board.  This means Wellington city will no longer carry out local functions in a seamless way and has lost its local identity, including planning for the capital city as an integrated whole.  Instead, WCC’s functions will be artificially split into three arbitrary areas.  In addition, local board functions can be added or removed at the whim of the unitary authority and appear to largely put some distance between elected decision-makers and the residents– so it is </w:t>
      </w:r>
    </w:p>
    <w:p w:rsidR="001C2283" w:rsidRDefault="001C2283" w:rsidP="00645859">
      <w:pPr>
        <w:spacing w:after="0" w:line="300" w:lineRule="exact"/>
        <w:rPr>
          <w:rFonts w:ascii="Arial" w:hAnsi="Arial" w:cs="Arial"/>
          <w:sz w:val="22"/>
          <w:szCs w:val="22"/>
        </w:rPr>
      </w:pP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more a case of ‘all care, no responsibility’ for local boards.</w:t>
      </w:r>
    </w:p>
    <w:p w:rsidR="009F09DF" w:rsidRPr="00645859" w:rsidRDefault="009F09DF" w:rsidP="00645859">
      <w:pPr>
        <w:spacing w:after="0" w:line="240" w:lineRule="auto"/>
        <w:rPr>
          <w:rFonts w:ascii="Arial" w:hAnsi="Arial" w:cs="Arial"/>
          <w:sz w:val="22"/>
          <w:szCs w:val="22"/>
        </w:rPr>
      </w:pP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 xml:space="preserve">The documentation assures us that local boards would be responsible for many activities including local parks and reserves, recreational centres, arts and cultural facilities and events, and libraries.  However, if Wellington city is split into three, these functions would also be split.  This is a retrograde and inefficient step, and is counter to the provision of section 24AA of the Local Government Act 2002 that reorganisations should improve the effectiveness and efficiency of local government.  </w:t>
      </w:r>
    </w:p>
    <w:p w:rsidR="009F09DF" w:rsidRPr="00645859" w:rsidRDefault="009F09DF" w:rsidP="00645859">
      <w:pPr>
        <w:spacing w:after="0" w:line="240" w:lineRule="auto"/>
        <w:rPr>
          <w:rFonts w:ascii="Arial" w:hAnsi="Arial" w:cs="Arial"/>
          <w:sz w:val="22"/>
          <w:szCs w:val="22"/>
        </w:rPr>
      </w:pP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An apparent alternative proposed in the documents (Schedule C Table 1) is to consider all cross-board functions as regional and therefore the responsibility of the GWC, for example, the designation and governance of regional facilities (such as the Michael Fowler Centre), coordination of sportsground usage, and regional policies on library collections, acquisitions, charging.  The MVRA considers this too to be a retrograde step as WCC ably runs the major city venues as a flexible suite through Positively Wellington Venues, and similarly the sportsfields and libraries.  These services also primarily serve Wellington city residents, not the entire region (although events such as WOW and the International Festival of the Arts are of national interest).</w:t>
      </w:r>
    </w:p>
    <w:p w:rsidR="009F09DF" w:rsidRPr="00645859" w:rsidRDefault="009F09DF" w:rsidP="00645859">
      <w:pPr>
        <w:spacing w:after="0" w:line="240" w:lineRule="auto"/>
        <w:rPr>
          <w:rFonts w:ascii="Arial" w:hAnsi="Arial" w:cs="Arial"/>
          <w:sz w:val="22"/>
          <w:szCs w:val="22"/>
        </w:rPr>
      </w:pP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 xml:space="preserve">In the 2013 report of the Joint Working Party on Wellington Region Local Government Reform, the Auditor General noted that the Auckland experience revealed confusion and tension between the two tiers regarding roles and responsibilities.  The report also suggests the need for clearly defined allocation of functions and funding if the Wellington model is to be clearer and significantly more efficient than the Auckland model. </w:t>
      </w:r>
    </w:p>
    <w:p w:rsidR="009F09DF" w:rsidRPr="00645859" w:rsidRDefault="009F09DF" w:rsidP="00645859">
      <w:pPr>
        <w:spacing w:after="0" w:line="240" w:lineRule="auto"/>
        <w:rPr>
          <w:rFonts w:ascii="Arial" w:hAnsi="Arial" w:cs="Arial"/>
          <w:sz w:val="22"/>
          <w:szCs w:val="22"/>
        </w:rPr>
      </w:pP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We are also concerned the Auditor General noted the Auckland Council is large and complex, internal communication is difficult and there is a growing need for staff capable of navigating administrative bureaucracy.  This does not sound like a sound basis for improved efficiency.</w:t>
      </w:r>
    </w:p>
    <w:p w:rsidR="009F09DF" w:rsidRPr="00645859" w:rsidRDefault="009F09DF" w:rsidP="00645859">
      <w:pPr>
        <w:spacing w:after="0" w:line="300" w:lineRule="exact"/>
        <w:rPr>
          <w:rFonts w:ascii="Arial" w:hAnsi="Arial" w:cs="Arial"/>
          <w:sz w:val="22"/>
          <w:szCs w:val="22"/>
        </w:rPr>
      </w:pPr>
    </w:p>
    <w:p w:rsidR="009F09DF" w:rsidRPr="00645859" w:rsidRDefault="009F09DF" w:rsidP="00645859">
      <w:pPr>
        <w:spacing w:after="0" w:line="300" w:lineRule="exact"/>
        <w:rPr>
          <w:rFonts w:ascii="Arial" w:hAnsi="Arial" w:cs="Arial"/>
          <w:b/>
          <w:i/>
          <w:sz w:val="22"/>
          <w:szCs w:val="22"/>
        </w:rPr>
      </w:pPr>
      <w:r w:rsidRPr="00645859">
        <w:rPr>
          <w:rFonts w:ascii="Arial" w:hAnsi="Arial" w:cs="Arial"/>
          <w:b/>
          <w:i/>
          <w:sz w:val="22"/>
          <w:szCs w:val="22"/>
        </w:rPr>
        <w:t>Ensuring subsidiarity</w:t>
      </w: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One positive aspect of the current arrangement of eight local councils and one regional council is that each has a governance body with rating powers and an organisation to support it and implement the decisions it makes.  This structure meets the subsidiarity concept promoted in the Local Government Act as it places decision-making about sources of funding and service provision together, closest to the community affected, and enables them to be balanced by the same decision-makers.</w:t>
      </w:r>
    </w:p>
    <w:p w:rsidR="009F09DF" w:rsidRPr="00645859" w:rsidRDefault="009F09DF" w:rsidP="00645859">
      <w:pPr>
        <w:spacing w:after="0" w:line="240" w:lineRule="auto"/>
        <w:rPr>
          <w:rFonts w:ascii="Arial" w:hAnsi="Arial" w:cs="Arial"/>
          <w:sz w:val="22"/>
          <w:szCs w:val="22"/>
        </w:rPr>
      </w:pP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 xml:space="preserve">We do not support the proposed single council as rating powers and strategic planning would be placed in the hands of one central body, most of whose councillors would have little understanding or interest in particular local community service needs, nor would they have the means to be responsive or be held accountable.  </w:t>
      </w:r>
    </w:p>
    <w:p w:rsidR="009F09DF" w:rsidRPr="00645859" w:rsidRDefault="009F09DF" w:rsidP="00645859">
      <w:pPr>
        <w:spacing w:after="0" w:line="240" w:lineRule="auto"/>
        <w:rPr>
          <w:rFonts w:ascii="Arial" w:hAnsi="Arial" w:cs="Arial"/>
          <w:sz w:val="22"/>
          <w:szCs w:val="22"/>
        </w:rPr>
      </w:pPr>
    </w:p>
    <w:p w:rsidR="001C2283" w:rsidRDefault="009F09DF" w:rsidP="00645859">
      <w:pPr>
        <w:spacing w:after="0" w:line="300" w:lineRule="exact"/>
        <w:rPr>
          <w:rFonts w:ascii="Arial" w:hAnsi="Arial" w:cs="Arial"/>
          <w:sz w:val="22"/>
          <w:szCs w:val="22"/>
        </w:rPr>
      </w:pPr>
      <w:r w:rsidRPr="00645859">
        <w:rPr>
          <w:rFonts w:ascii="Arial" w:hAnsi="Arial" w:cs="Arial"/>
          <w:sz w:val="22"/>
          <w:szCs w:val="22"/>
        </w:rPr>
        <w:t xml:space="preserve">The two-tier option requires local boards to identify local needs but without the power to fund them.  Instead boards must prepare a local board plan and compete for a slice of the money to fund their community’s desired service provision.  This is inefficient because time and energy are wasted in an environment of competing fiefdoms.  Also, the central body must consider what is likely to be a multitude of funding bids from eight boards without its having sufficient knowledge about local merits and needs.  Competition for funding is likely to undermine regional and cross-board cooperation.  In </w:t>
      </w:r>
    </w:p>
    <w:p w:rsidR="001C2283" w:rsidRDefault="001C2283" w:rsidP="00645859">
      <w:pPr>
        <w:spacing w:after="0" w:line="300" w:lineRule="exact"/>
        <w:rPr>
          <w:rFonts w:ascii="Arial" w:hAnsi="Arial" w:cs="Arial"/>
          <w:sz w:val="22"/>
          <w:szCs w:val="22"/>
        </w:rPr>
      </w:pP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addition, this model makes accountability and credibility of local boards a</w:t>
      </w:r>
      <w:r w:rsidR="00645859">
        <w:rPr>
          <w:rFonts w:ascii="Arial" w:hAnsi="Arial" w:cs="Arial"/>
          <w:sz w:val="22"/>
          <w:szCs w:val="22"/>
        </w:rPr>
        <w:t xml:space="preserve"> </w:t>
      </w:r>
      <w:r w:rsidRPr="00645859">
        <w:rPr>
          <w:rFonts w:ascii="Arial" w:hAnsi="Arial" w:cs="Arial"/>
          <w:sz w:val="22"/>
          <w:szCs w:val="22"/>
        </w:rPr>
        <w:t>nonsense, if they do not have control of funding to provide services identified as needed by their local community, or are required to implement GWC decisions which they do not believe best benefit their local people.</w:t>
      </w:r>
    </w:p>
    <w:p w:rsidR="009F09DF" w:rsidRPr="00645859" w:rsidRDefault="009F09DF" w:rsidP="00645859">
      <w:pPr>
        <w:spacing w:after="0" w:line="240" w:lineRule="auto"/>
        <w:rPr>
          <w:rFonts w:ascii="Arial" w:hAnsi="Arial" w:cs="Arial"/>
          <w:sz w:val="22"/>
          <w:szCs w:val="22"/>
        </w:rPr>
      </w:pP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We believe that elected local bodies, whether regional or local, must have an independent tax base so that they can balance service provision against costs and funding sources, be accountable for both aspects of the equation, and be seen as credible.</w:t>
      </w:r>
    </w:p>
    <w:p w:rsidR="009F09DF" w:rsidRPr="00645859" w:rsidRDefault="009F09DF" w:rsidP="00645859">
      <w:pPr>
        <w:spacing w:after="0" w:line="300" w:lineRule="exact"/>
        <w:rPr>
          <w:rFonts w:ascii="Arial" w:hAnsi="Arial" w:cs="Arial"/>
          <w:sz w:val="22"/>
          <w:szCs w:val="22"/>
        </w:rPr>
      </w:pPr>
    </w:p>
    <w:p w:rsidR="009F09DF" w:rsidRPr="00645859" w:rsidRDefault="009F09DF" w:rsidP="00645859">
      <w:pPr>
        <w:spacing w:after="0" w:line="300" w:lineRule="exact"/>
        <w:rPr>
          <w:rFonts w:ascii="Arial" w:hAnsi="Arial" w:cs="Arial"/>
          <w:sz w:val="22"/>
          <w:szCs w:val="22"/>
        </w:rPr>
      </w:pPr>
      <w:r w:rsidRPr="00645859">
        <w:rPr>
          <w:rFonts w:ascii="Arial" w:hAnsi="Arial" w:cs="Arial"/>
          <w:b/>
          <w:i/>
          <w:sz w:val="22"/>
          <w:szCs w:val="22"/>
        </w:rPr>
        <w:t xml:space="preserve">Local democracy </w:t>
      </w: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 xml:space="preserve">Wellington City on its own is already the third largest local authority in New Zealand.  In our view, the proposed single council for the region, making decisions and taking action on behalf of some 490,000 people, does not meet the definition of local government in the Local Government Act 2002.  Section 10 of the Act states that the purpose of local government is </w:t>
      </w:r>
      <w:r w:rsidRPr="00645859">
        <w:rPr>
          <w:rFonts w:ascii="Arial" w:hAnsi="Arial" w:cs="Arial"/>
          <w:i/>
          <w:sz w:val="22"/>
          <w:szCs w:val="22"/>
        </w:rPr>
        <w:t>(inter alia</w:t>
      </w:r>
      <w:r w:rsidRPr="00645859">
        <w:rPr>
          <w:rFonts w:ascii="Arial" w:hAnsi="Arial" w:cs="Arial"/>
          <w:sz w:val="22"/>
          <w:szCs w:val="22"/>
        </w:rPr>
        <w:t>) “...to enable democratic local decision-making and action by, and on behalf of, communities...”.  The proposed single council is not ‘local government’ by any rational understanding of those words.</w:t>
      </w:r>
    </w:p>
    <w:p w:rsidR="009F09DF" w:rsidRPr="00645859" w:rsidRDefault="009F09DF" w:rsidP="00645859">
      <w:pPr>
        <w:spacing w:after="0" w:line="240" w:lineRule="auto"/>
        <w:rPr>
          <w:rFonts w:ascii="Arial" w:hAnsi="Arial" w:cs="Arial"/>
          <w:sz w:val="22"/>
          <w:szCs w:val="22"/>
        </w:rPr>
      </w:pP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 xml:space="preserve">We are concerned that the larger the local government entity, the less accessible and accountable elected councillors will be.  The Association’s experience has been that localised representation means we know our local ward councillors, they participate in local community meetings and events, and are accessible.  We can hold them accountable for decisions on both funding and service provision.  In comparison, our regional councillors, who are elected to represent the whole region, and even the Wellington constituency councilors, are mainly invisible.  </w:t>
      </w:r>
    </w:p>
    <w:p w:rsidR="009F09DF" w:rsidRPr="00645859" w:rsidRDefault="009F09DF" w:rsidP="00645859">
      <w:pPr>
        <w:spacing w:after="0" w:line="240" w:lineRule="auto"/>
        <w:rPr>
          <w:rFonts w:ascii="Arial" w:hAnsi="Arial" w:cs="Arial"/>
          <w:sz w:val="22"/>
          <w:szCs w:val="22"/>
        </w:rPr>
      </w:pP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The Commission sees its proposed two-tier option as a way of ensuring local democracy.  However, we note in the 2013 report of the Joint Working Party on Wellington Region Local Government Reform (in the Auditor General’s discussion of lessons from Auckland), that a “delegation of fewer responsibilities to local boards may help efficiency but weaken local democracy”.  This is a major concern which will not be addressed by having two ward councillors on each local board.</w:t>
      </w:r>
    </w:p>
    <w:p w:rsidR="009F09DF" w:rsidRPr="00645859" w:rsidRDefault="009F09DF" w:rsidP="00645859">
      <w:pPr>
        <w:spacing w:after="0" w:line="240" w:lineRule="auto"/>
        <w:rPr>
          <w:rFonts w:ascii="Arial" w:hAnsi="Arial" w:cs="Arial"/>
          <w:sz w:val="22"/>
          <w:szCs w:val="22"/>
        </w:rPr>
      </w:pP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 xml:space="preserve">A major concern for MVRA is centralising powers and functions in one GWC will give unfair priority to people living outside an affected area over the liveability and amenity values of people living in an area affected by regional activities.  For example, roading developments have forced local communities to live in blighted and ghettoized areas where their living conditions and amenity values are seriously diminished.  </w:t>
      </w:r>
    </w:p>
    <w:p w:rsidR="009F09DF" w:rsidRPr="00645859" w:rsidRDefault="009F09DF" w:rsidP="00645859">
      <w:pPr>
        <w:spacing w:after="0" w:line="300" w:lineRule="exact"/>
        <w:rPr>
          <w:rFonts w:ascii="Arial" w:hAnsi="Arial" w:cs="Arial"/>
          <w:sz w:val="22"/>
          <w:szCs w:val="22"/>
        </w:rPr>
      </w:pPr>
    </w:p>
    <w:p w:rsidR="009F09DF" w:rsidRPr="00645859" w:rsidRDefault="009F09DF" w:rsidP="00645859">
      <w:pPr>
        <w:spacing w:after="0" w:line="300" w:lineRule="exact"/>
        <w:rPr>
          <w:rFonts w:ascii="Arial" w:hAnsi="Arial" w:cs="Arial"/>
          <w:b/>
          <w:i/>
          <w:sz w:val="22"/>
          <w:szCs w:val="22"/>
        </w:rPr>
      </w:pPr>
      <w:r w:rsidRPr="00645859">
        <w:rPr>
          <w:rFonts w:ascii="Arial" w:hAnsi="Arial" w:cs="Arial"/>
          <w:b/>
          <w:i/>
          <w:sz w:val="22"/>
          <w:szCs w:val="22"/>
        </w:rPr>
        <w:t>Barriers to standing for public office</w:t>
      </w:r>
    </w:p>
    <w:p w:rsidR="00645859" w:rsidRDefault="009F09DF" w:rsidP="00645859">
      <w:pPr>
        <w:spacing w:after="0" w:line="300" w:lineRule="exact"/>
        <w:rPr>
          <w:rFonts w:ascii="Arial" w:hAnsi="Arial" w:cs="Arial"/>
          <w:sz w:val="22"/>
          <w:szCs w:val="22"/>
        </w:rPr>
      </w:pPr>
      <w:r w:rsidRPr="00645859">
        <w:rPr>
          <w:rFonts w:ascii="Arial" w:hAnsi="Arial" w:cs="Arial"/>
          <w:sz w:val="22"/>
          <w:szCs w:val="22"/>
        </w:rPr>
        <w:t>The Association is also concerned over the loss of local democracy regarding who might be able to</w:t>
      </w:r>
      <w:r w:rsidR="001C2283">
        <w:rPr>
          <w:rFonts w:ascii="Arial" w:hAnsi="Arial" w:cs="Arial"/>
          <w:sz w:val="22"/>
          <w:szCs w:val="22"/>
        </w:rPr>
        <w:t xml:space="preserve"> </w:t>
      </w: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stand for election to the Greater Wellington Council.  The proposal bestows upon a single council for Wellington region sweeping and overarching powers.  This would inevitably create a magnet to both sectional interests and countrywide political groups, a dynamic favouring those with wealth sufficient to fund an election campaign across the region, or the backing of a political organisation to do so.  Consequently, the proposed model has the potential to concentrate political power within the hands of a sectional or political elite.</w:t>
      </w:r>
    </w:p>
    <w:p w:rsidR="009F09DF" w:rsidRDefault="009F09DF" w:rsidP="001C2283">
      <w:pPr>
        <w:spacing w:after="0" w:line="240" w:lineRule="auto"/>
        <w:rPr>
          <w:rFonts w:ascii="Arial" w:hAnsi="Arial" w:cs="Arial"/>
          <w:sz w:val="22"/>
          <w:szCs w:val="22"/>
        </w:rPr>
      </w:pPr>
    </w:p>
    <w:p w:rsidR="001C2283" w:rsidRDefault="001C2283" w:rsidP="001C2283">
      <w:pPr>
        <w:spacing w:after="0" w:line="240" w:lineRule="auto"/>
        <w:rPr>
          <w:rFonts w:ascii="Arial" w:hAnsi="Arial" w:cs="Arial"/>
          <w:sz w:val="22"/>
          <w:szCs w:val="22"/>
        </w:rPr>
      </w:pPr>
    </w:p>
    <w:p w:rsidR="001C2283" w:rsidRDefault="001C2283" w:rsidP="001C2283">
      <w:pPr>
        <w:spacing w:after="0" w:line="240" w:lineRule="auto"/>
        <w:rPr>
          <w:rFonts w:ascii="Arial" w:hAnsi="Arial" w:cs="Arial"/>
          <w:sz w:val="22"/>
          <w:szCs w:val="22"/>
        </w:rPr>
      </w:pPr>
    </w:p>
    <w:p w:rsidR="001C2283" w:rsidRDefault="001C2283" w:rsidP="001C2283">
      <w:pPr>
        <w:spacing w:after="0" w:line="240" w:lineRule="auto"/>
        <w:rPr>
          <w:rFonts w:ascii="Arial" w:hAnsi="Arial" w:cs="Arial"/>
          <w:sz w:val="22"/>
          <w:szCs w:val="22"/>
        </w:rPr>
      </w:pPr>
    </w:p>
    <w:p w:rsidR="009F09DF" w:rsidRPr="00645859" w:rsidRDefault="009F09DF" w:rsidP="00645859">
      <w:pPr>
        <w:spacing w:after="0" w:line="300" w:lineRule="exact"/>
        <w:rPr>
          <w:rFonts w:ascii="Arial" w:hAnsi="Arial" w:cs="Arial"/>
          <w:b/>
          <w:i/>
          <w:sz w:val="22"/>
          <w:szCs w:val="22"/>
        </w:rPr>
      </w:pPr>
      <w:r w:rsidRPr="00645859">
        <w:rPr>
          <w:rFonts w:ascii="Arial" w:hAnsi="Arial" w:cs="Arial"/>
          <w:b/>
          <w:i/>
          <w:sz w:val="22"/>
          <w:szCs w:val="22"/>
        </w:rPr>
        <w:t>Improved planning</w:t>
      </w:r>
    </w:p>
    <w:p w:rsidR="00645859" w:rsidRDefault="009F09DF" w:rsidP="00645859">
      <w:pPr>
        <w:spacing w:after="0" w:line="300" w:lineRule="exact"/>
        <w:rPr>
          <w:rFonts w:ascii="Arial" w:hAnsi="Arial" w:cs="Arial"/>
          <w:sz w:val="22"/>
          <w:szCs w:val="22"/>
        </w:rPr>
      </w:pPr>
      <w:r w:rsidRPr="00645859">
        <w:rPr>
          <w:rFonts w:ascii="Arial" w:hAnsi="Arial" w:cs="Arial"/>
          <w:sz w:val="22"/>
          <w:szCs w:val="22"/>
        </w:rPr>
        <w:t>The documents note the proposed GWC provides a significant opportunity to simplify and streamline the number of plans and planning documents (currently over 300) that are required to</w:t>
      </w: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govern Wellington.  On the face of it, this number may appear unnecessary and inefficient.  However, we note that in the case of Wellington city, many relate to city-specific areas or activities, for example, the Central City Framework, Waterfront Framework, Newlands Centre Plan, Biodiversity Action Plan – other councils are likely to have numbers of similar local plans.</w:t>
      </w:r>
    </w:p>
    <w:p w:rsidR="009F09DF" w:rsidRPr="00645859" w:rsidRDefault="009F09DF" w:rsidP="00645859">
      <w:pPr>
        <w:spacing w:after="0" w:line="240" w:lineRule="auto"/>
        <w:rPr>
          <w:rFonts w:ascii="Arial" w:hAnsi="Arial" w:cs="Arial"/>
          <w:sz w:val="22"/>
          <w:szCs w:val="22"/>
        </w:rPr>
      </w:pP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 xml:space="preserve">Wellington city plans include an urban design plan </w:t>
      </w:r>
      <w:r w:rsidRPr="00645859">
        <w:rPr>
          <w:rFonts w:ascii="Arial" w:hAnsi="Arial" w:cs="Arial"/>
          <w:i/>
          <w:sz w:val="22"/>
          <w:szCs w:val="22"/>
        </w:rPr>
        <w:t>Wellington</w:t>
      </w:r>
      <w:r w:rsidRPr="00645859">
        <w:rPr>
          <w:rFonts w:ascii="Arial" w:hAnsi="Arial" w:cs="Arial"/>
          <w:sz w:val="22"/>
          <w:szCs w:val="22"/>
        </w:rPr>
        <w:t xml:space="preserve"> </w:t>
      </w:r>
      <w:r w:rsidRPr="00645859">
        <w:rPr>
          <w:rFonts w:ascii="Arial" w:hAnsi="Arial" w:cs="Arial"/>
          <w:i/>
          <w:sz w:val="22"/>
          <w:szCs w:val="22"/>
        </w:rPr>
        <w:t xml:space="preserve">Towards 2040: Smart Capital </w:t>
      </w:r>
      <w:r w:rsidRPr="00645859">
        <w:rPr>
          <w:rFonts w:ascii="Arial" w:hAnsi="Arial" w:cs="Arial"/>
          <w:sz w:val="22"/>
          <w:szCs w:val="22"/>
        </w:rPr>
        <w:t>with goals of a people-centred, eco, connected, dynamic city.  The plan and goals are what make, and will continue to make, the city liveable and attractive, and recognised internationally as the coolest little capital in the world.  A GWC that splits the city into three will prevent this successful planning for our geographically-compact capital city from continuing.</w:t>
      </w:r>
    </w:p>
    <w:p w:rsidR="009F09DF" w:rsidRPr="00645859" w:rsidRDefault="009F09DF" w:rsidP="00645859">
      <w:pPr>
        <w:spacing w:after="0" w:line="240" w:lineRule="auto"/>
        <w:rPr>
          <w:rFonts w:ascii="Arial" w:hAnsi="Arial" w:cs="Arial"/>
          <w:sz w:val="22"/>
          <w:szCs w:val="22"/>
        </w:rPr>
      </w:pP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 xml:space="preserve">Under the proposal, the GWC will be required to prepare an annual plan, in consultation with local boards, and local boards will be required to prepare plans and budgets to support their funding requests.  The GWC will set policy directions and performance criteria, and monitor board performance.  This will require councillors to grapple with eight sets of plans and funding proposals in addition to their own regional plans and budgets, and complex negotiations over them.  It is therefore not surprising, but certainly worrying,  to see the Auditor General’s comment (in the Joint Working Party report) that in Auckland’s case there is too much reading required by both tiers to stay informed and make good decisions..  </w:t>
      </w:r>
    </w:p>
    <w:p w:rsidR="009F09DF" w:rsidRPr="00645859" w:rsidRDefault="009F09DF" w:rsidP="00645859">
      <w:pPr>
        <w:spacing w:after="0" w:line="300" w:lineRule="exact"/>
        <w:rPr>
          <w:rFonts w:ascii="Arial" w:hAnsi="Arial" w:cs="Arial"/>
          <w:sz w:val="22"/>
          <w:szCs w:val="22"/>
        </w:rPr>
      </w:pPr>
    </w:p>
    <w:p w:rsidR="009F09DF" w:rsidRPr="00645859" w:rsidRDefault="009F09DF" w:rsidP="00645859">
      <w:pPr>
        <w:spacing w:after="0" w:line="300" w:lineRule="exact"/>
        <w:rPr>
          <w:rFonts w:ascii="Arial" w:hAnsi="Arial" w:cs="Arial"/>
          <w:b/>
          <w:i/>
          <w:sz w:val="22"/>
          <w:szCs w:val="22"/>
        </w:rPr>
      </w:pPr>
      <w:r w:rsidRPr="00645859">
        <w:rPr>
          <w:rFonts w:ascii="Arial" w:hAnsi="Arial" w:cs="Arial"/>
          <w:b/>
          <w:i/>
          <w:sz w:val="22"/>
          <w:szCs w:val="22"/>
        </w:rPr>
        <w:t>Efficiency and rates, user charges, debt and costs</w:t>
      </w: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We are pleased to note the Commission’s finding that overall, none of the Wellington councils is in financial difficulty, and all operate within the bounds of accepted financial prudence.</w:t>
      </w:r>
    </w:p>
    <w:p w:rsidR="009F09DF" w:rsidRPr="00645859" w:rsidRDefault="009F09DF" w:rsidP="00645859">
      <w:pPr>
        <w:spacing w:after="0" w:line="240" w:lineRule="auto"/>
        <w:rPr>
          <w:rFonts w:ascii="Arial" w:hAnsi="Arial" w:cs="Arial"/>
          <w:sz w:val="22"/>
          <w:szCs w:val="22"/>
        </w:rPr>
      </w:pP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 xml:space="preserve">The documents state the savings from the reasonably practicable options will be modest, and there is considerable risk that they would not be achieved.  This finding aligns with the Review Panel’s comment that research on local government reforms suggests economies of scale were often not apparent in the short term from larger entities, and the Joint Working Party’s view that savings may not mean a reduction in rates, but rather only reduced rate increases.  </w:t>
      </w:r>
    </w:p>
    <w:p w:rsidR="009F09DF" w:rsidRPr="00645859" w:rsidRDefault="009F09DF" w:rsidP="00645859">
      <w:pPr>
        <w:spacing w:after="0" w:line="240" w:lineRule="auto"/>
        <w:rPr>
          <w:rFonts w:ascii="Arial" w:hAnsi="Arial" w:cs="Arial"/>
          <w:sz w:val="22"/>
          <w:szCs w:val="22"/>
        </w:rPr>
      </w:pP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 xml:space="preserve">Although the documents do not include such data, we note from the Joint Working Party report the very large variations in debt minus investments </w:t>
      </w:r>
      <w:r w:rsidRPr="00645859">
        <w:rPr>
          <w:rFonts w:ascii="Arial" w:hAnsi="Arial" w:cs="Arial"/>
          <w:sz w:val="22"/>
          <w:szCs w:val="22"/>
          <w:u w:val="single"/>
        </w:rPr>
        <w:t>per resident</w:t>
      </w:r>
      <w:r w:rsidRPr="00645859">
        <w:rPr>
          <w:rFonts w:ascii="Arial" w:hAnsi="Arial" w:cs="Arial"/>
          <w:sz w:val="22"/>
          <w:szCs w:val="22"/>
        </w:rPr>
        <w:t xml:space="preserve"> and debt minus investments per $ million rateable capital value across councils, and that Wellington city is well below the average for the region on both measures.  We do not accept that Wellington city residents should be penalised from the amalgamation of borrowing and investments while residents with less prudent councils such as Kapiti and Masterton would be beneficiaries.  If amalgamations go ahead, there must be some mitigating mechanism so more prudent councils are not penalised.</w:t>
      </w:r>
    </w:p>
    <w:p w:rsidR="009F09DF" w:rsidRPr="00645859" w:rsidRDefault="009F09DF" w:rsidP="00645859">
      <w:pPr>
        <w:spacing w:after="0" w:line="240" w:lineRule="auto"/>
        <w:rPr>
          <w:rFonts w:ascii="Arial" w:hAnsi="Arial" w:cs="Arial"/>
          <w:sz w:val="22"/>
          <w:szCs w:val="22"/>
        </w:rPr>
      </w:pPr>
    </w:p>
    <w:p w:rsidR="001C2283" w:rsidRDefault="009F09DF" w:rsidP="00645859">
      <w:pPr>
        <w:spacing w:after="0" w:line="300" w:lineRule="exact"/>
        <w:rPr>
          <w:rFonts w:ascii="Arial" w:hAnsi="Arial" w:cs="Arial"/>
          <w:sz w:val="22"/>
          <w:szCs w:val="22"/>
        </w:rPr>
      </w:pPr>
      <w:r w:rsidRPr="00645859">
        <w:rPr>
          <w:rFonts w:ascii="Arial" w:hAnsi="Arial" w:cs="Arial"/>
          <w:sz w:val="22"/>
          <w:szCs w:val="22"/>
        </w:rPr>
        <w:t xml:space="preserve">In the MVRA’s view, central government could be examining aspects other than governance structures as means for improving efficiency and reducing rates and debt burdens.  One aspect noted by the Review Panel is that there are well over 100 Acts and regulations which local government must abide by or administer, and implement any changes made to them.  There appears to be a need </w:t>
      </w:r>
    </w:p>
    <w:p w:rsidR="001C2283" w:rsidRDefault="001C2283" w:rsidP="00645859">
      <w:pPr>
        <w:spacing w:after="0" w:line="300" w:lineRule="exact"/>
        <w:rPr>
          <w:rFonts w:ascii="Arial" w:hAnsi="Arial" w:cs="Arial"/>
          <w:sz w:val="22"/>
          <w:szCs w:val="22"/>
        </w:rPr>
      </w:pPr>
    </w:p>
    <w:p w:rsidR="009F09DF" w:rsidRPr="00645859" w:rsidRDefault="001C2283" w:rsidP="00645859">
      <w:pPr>
        <w:spacing w:after="0" w:line="300" w:lineRule="exact"/>
        <w:rPr>
          <w:rFonts w:ascii="Arial" w:hAnsi="Arial" w:cs="Arial"/>
          <w:sz w:val="22"/>
          <w:szCs w:val="22"/>
        </w:rPr>
      </w:pPr>
      <w:r>
        <w:rPr>
          <w:rFonts w:ascii="Arial" w:hAnsi="Arial" w:cs="Arial"/>
          <w:sz w:val="22"/>
          <w:szCs w:val="22"/>
        </w:rPr>
        <w:t xml:space="preserve">to </w:t>
      </w:r>
      <w:r w:rsidR="009F09DF" w:rsidRPr="00645859">
        <w:rPr>
          <w:rFonts w:ascii="Arial" w:hAnsi="Arial" w:cs="Arial"/>
          <w:sz w:val="22"/>
          <w:szCs w:val="22"/>
        </w:rPr>
        <w:t>examine this multiplicity to see where improvements could be achieved.</w:t>
      </w:r>
    </w:p>
    <w:p w:rsidR="009F09DF" w:rsidRPr="00645859" w:rsidRDefault="009F09DF" w:rsidP="00645859">
      <w:pPr>
        <w:spacing w:after="0" w:line="240" w:lineRule="auto"/>
        <w:rPr>
          <w:rFonts w:ascii="Arial" w:hAnsi="Arial" w:cs="Arial"/>
          <w:sz w:val="22"/>
          <w:szCs w:val="22"/>
        </w:rPr>
      </w:pP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Another aspect is the inequitability for central government to levy GST on rates, which are a tax.  Otherwise, if GST continues to be levied, there could be an element of revenue-sharing with local government on the grounds of broader benefits to society in general from some local government functions.</w:t>
      </w:r>
    </w:p>
    <w:p w:rsidR="009F09DF" w:rsidRPr="00645859" w:rsidRDefault="009F09DF" w:rsidP="00645859">
      <w:pPr>
        <w:spacing w:after="0" w:line="300" w:lineRule="exact"/>
        <w:rPr>
          <w:rFonts w:ascii="Arial" w:hAnsi="Arial" w:cs="Arial"/>
          <w:sz w:val="22"/>
          <w:szCs w:val="22"/>
        </w:rPr>
      </w:pPr>
    </w:p>
    <w:p w:rsidR="009F09DF" w:rsidRPr="00645859" w:rsidRDefault="009F09DF" w:rsidP="00645859">
      <w:pPr>
        <w:spacing w:after="0" w:line="300" w:lineRule="exact"/>
        <w:rPr>
          <w:rFonts w:ascii="Arial" w:hAnsi="Arial" w:cs="Arial"/>
          <w:b/>
          <w:i/>
          <w:sz w:val="22"/>
          <w:szCs w:val="22"/>
        </w:rPr>
      </w:pPr>
      <w:r w:rsidRPr="00645859">
        <w:rPr>
          <w:rFonts w:ascii="Arial" w:hAnsi="Arial" w:cs="Arial"/>
          <w:b/>
          <w:i/>
          <w:sz w:val="22"/>
          <w:szCs w:val="22"/>
        </w:rPr>
        <w:t>Council-controlled organizations (CCOs)</w:t>
      </w: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Although the documents do not appear to discuss how CCOs might operate once taken over by the GWC, we register our concern over CCOs in Wellington city.  Experience suggests that they lack democracy, openness to public scrutiny and accountability, some of their boards pursue policy agenda completely contrary to council and community goals (which can end up costing ratepayers and community groups), and promised returns on investment do not materialise.  A prime example is Wellington Waterfront Ltd which has cost the city and community groups hundreds of thousands of dollars in court actions.</w:t>
      </w:r>
    </w:p>
    <w:p w:rsidR="009F09DF" w:rsidRPr="00645859" w:rsidRDefault="009F09DF" w:rsidP="00645859">
      <w:pPr>
        <w:spacing w:after="0" w:line="240" w:lineRule="auto"/>
        <w:rPr>
          <w:rFonts w:ascii="Arial" w:hAnsi="Arial" w:cs="Arial"/>
          <w:sz w:val="22"/>
          <w:szCs w:val="22"/>
        </w:rPr>
      </w:pP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 xml:space="preserve">We are concerned that CCOs responsible to a single GWC are likely to create further tensions with local communities.  We note the Auditor General’s warning in the Joint Working Party report to take care with the powers of CCOs as they can impede the autonomy of local boards, for example, Auckland Transport reducing local boards’ place-shaping capability.  The Auditor General also notes in Auckland there is public concern about transparency of CCOs, tensions between Council and CCOs about who controls some decision-making, CCOs are not responsive to staff requests for information, and they have difficulty responding to the needs of 21 local boards.  </w:t>
      </w:r>
    </w:p>
    <w:p w:rsidR="009F09DF" w:rsidRPr="00645859" w:rsidRDefault="009F09DF" w:rsidP="00645859">
      <w:pPr>
        <w:spacing w:after="0" w:line="300" w:lineRule="exact"/>
        <w:rPr>
          <w:rFonts w:ascii="Arial" w:hAnsi="Arial" w:cs="Arial"/>
          <w:sz w:val="22"/>
          <w:szCs w:val="22"/>
        </w:rPr>
      </w:pPr>
    </w:p>
    <w:p w:rsidR="009F09DF" w:rsidRPr="00645859" w:rsidRDefault="009F09DF" w:rsidP="00645859">
      <w:pPr>
        <w:spacing w:after="0" w:line="300" w:lineRule="exact"/>
        <w:rPr>
          <w:rFonts w:ascii="Arial" w:hAnsi="Arial" w:cs="Arial"/>
          <w:b/>
          <w:i/>
          <w:sz w:val="22"/>
          <w:szCs w:val="22"/>
        </w:rPr>
      </w:pPr>
      <w:r w:rsidRPr="00645859">
        <w:rPr>
          <w:rFonts w:ascii="Arial" w:hAnsi="Arial" w:cs="Arial"/>
          <w:b/>
          <w:i/>
          <w:sz w:val="22"/>
          <w:szCs w:val="22"/>
        </w:rPr>
        <w:t>Great degree of uncertainty</w:t>
      </w: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 xml:space="preserve">As there is a large degree of uncertainty about the shape and effect of the proposed major changes on the Wellington region, incremental change is an approach needing serious attention.  </w:t>
      </w:r>
    </w:p>
    <w:p w:rsidR="009F09DF" w:rsidRPr="00645859" w:rsidRDefault="009F09DF" w:rsidP="00645859">
      <w:pPr>
        <w:spacing w:after="0" w:line="300" w:lineRule="exact"/>
        <w:rPr>
          <w:rFonts w:ascii="Arial" w:hAnsi="Arial" w:cs="Arial"/>
          <w:sz w:val="22"/>
          <w:szCs w:val="22"/>
        </w:rPr>
      </w:pPr>
    </w:p>
    <w:p w:rsidR="009F09DF" w:rsidRPr="00645859" w:rsidRDefault="009F09DF" w:rsidP="00645859">
      <w:pPr>
        <w:spacing w:after="0" w:line="300" w:lineRule="exact"/>
        <w:rPr>
          <w:rFonts w:ascii="Arial" w:hAnsi="Arial" w:cs="Arial"/>
          <w:b/>
          <w:i/>
          <w:sz w:val="22"/>
          <w:szCs w:val="22"/>
        </w:rPr>
      </w:pPr>
      <w:r w:rsidRPr="00645859">
        <w:rPr>
          <w:rFonts w:ascii="Arial" w:hAnsi="Arial" w:cs="Arial"/>
          <w:b/>
          <w:i/>
          <w:sz w:val="22"/>
          <w:szCs w:val="22"/>
        </w:rPr>
        <w:t>Conclusions</w:t>
      </w: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The Association concludes that centralising all funding and strategic decision-making power in one large body is neither desirable nor efficient in the case of Wellington.  Local democracy and decision-making cannot be sacrificed for the alleged potential for stronger regional leadership and planning.  We do not believe that a body such as the proposed Greater Wellington Council could be responsive and accountable at the local level for a large number of local government functions.  We also believe it possible for locally-based bodies to plan and act locally and also regionally through cooperation, provided the regional council is more considerate of local views.  Hopefully, a vote against the super-city will be a serious wakeup call for the Wellington Regional Council.</w:t>
      </w:r>
    </w:p>
    <w:p w:rsidR="009F09DF" w:rsidRPr="00645859" w:rsidRDefault="009F09DF" w:rsidP="00645859">
      <w:pPr>
        <w:spacing w:after="0" w:line="240" w:lineRule="auto"/>
        <w:rPr>
          <w:rFonts w:ascii="Arial" w:hAnsi="Arial" w:cs="Arial"/>
          <w:sz w:val="22"/>
          <w:szCs w:val="22"/>
        </w:rPr>
      </w:pPr>
    </w:p>
    <w:p w:rsidR="009F09DF" w:rsidRPr="00645859" w:rsidRDefault="009F09DF" w:rsidP="00645859">
      <w:pPr>
        <w:spacing w:after="0" w:line="300" w:lineRule="exact"/>
        <w:rPr>
          <w:rFonts w:ascii="Arial" w:hAnsi="Arial" w:cs="Arial"/>
          <w:sz w:val="22"/>
          <w:szCs w:val="22"/>
        </w:rPr>
      </w:pPr>
      <w:r w:rsidRPr="00645859">
        <w:rPr>
          <w:rFonts w:ascii="Arial" w:hAnsi="Arial" w:cs="Arial"/>
          <w:sz w:val="22"/>
          <w:szCs w:val="22"/>
        </w:rPr>
        <w:t>Are minimal savings and benefits worth the loss of local democracy, huge disruption, and high costs that a move to a single council would entail?  We think not.</w:t>
      </w:r>
    </w:p>
    <w:p w:rsidR="009F09DF" w:rsidRPr="00645859" w:rsidRDefault="009F09DF" w:rsidP="00645859">
      <w:pPr>
        <w:spacing w:after="0" w:line="240" w:lineRule="auto"/>
        <w:rPr>
          <w:rFonts w:ascii="Arial" w:hAnsi="Arial" w:cs="Arial"/>
          <w:sz w:val="22"/>
          <w:szCs w:val="22"/>
        </w:rPr>
      </w:pPr>
    </w:p>
    <w:p w:rsidR="009F09DF" w:rsidRPr="00645859" w:rsidRDefault="009F09DF" w:rsidP="00645859">
      <w:pPr>
        <w:spacing w:after="0" w:line="240" w:lineRule="auto"/>
        <w:rPr>
          <w:rFonts w:ascii="Arial" w:hAnsi="Arial" w:cs="Arial"/>
          <w:sz w:val="22"/>
          <w:szCs w:val="22"/>
        </w:rPr>
      </w:pPr>
    </w:p>
    <w:p w:rsidR="009F09DF" w:rsidRPr="00645859" w:rsidRDefault="009F09DF" w:rsidP="00645859">
      <w:pPr>
        <w:spacing w:after="0" w:line="240" w:lineRule="auto"/>
        <w:rPr>
          <w:rFonts w:ascii="Arial" w:hAnsi="Arial" w:cs="Arial"/>
          <w:sz w:val="22"/>
          <w:szCs w:val="22"/>
        </w:rPr>
      </w:pPr>
    </w:p>
    <w:p w:rsidR="009F09DF" w:rsidRPr="00645859" w:rsidRDefault="009F09DF" w:rsidP="009F09DF">
      <w:pPr>
        <w:spacing w:after="0" w:line="280" w:lineRule="exact"/>
        <w:rPr>
          <w:rFonts w:ascii="Arial" w:hAnsi="Arial" w:cs="Arial"/>
          <w:sz w:val="22"/>
          <w:szCs w:val="22"/>
        </w:rPr>
      </w:pPr>
      <w:r w:rsidRPr="00645859">
        <w:rPr>
          <w:rFonts w:ascii="Arial" w:hAnsi="Arial" w:cs="Arial"/>
          <w:sz w:val="22"/>
          <w:szCs w:val="22"/>
        </w:rPr>
        <w:t>Craig Palmer</w:t>
      </w:r>
    </w:p>
    <w:p w:rsidR="008B328E" w:rsidRPr="00645859" w:rsidRDefault="009F09DF" w:rsidP="009F09DF">
      <w:pPr>
        <w:spacing w:after="0" w:line="280" w:lineRule="exact"/>
        <w:rPr>
          <w:rFonts w:ascii="Arial" w:hAnsi="Arial" w:cs="Arial"/>
          <w:sz w:val="22"/>
          <w:szCs w:val="22"/>
        </w:rPr>
      </w:pPr>
      <w:r w:rsidRPr="00645859">
        <w:rPr>
          <w:rFonts w:ascii="Arial" w:hAnsi="Arial" w:cs="Arial"/>
          <w:sz w:val="22"/>
          <w:szCs w:val="22"/>
        </w:rPr>
        <w:t>Acting President</w:t>
      </w:r>
    </w:p>
    <w:sectPr w:rsidR="008B328E" w:rsidRPr="00645859" w:rsidSect="00645859">
      <w:headerReference w:type="default" r:id="rId7"/>
      <w:footerReference w:type="default" r:id="rId8"/>
      <w:footnotePr>
        <w:pos w:val="beneathText"/>
      </w:footnotePr>
      <w:pgSz w:w="11909" w:h="16834" w:code="9"/>
      <w:pgMar w:top="1411" w:right="1008" w:bottom="864" w:left="1008" w:header="432" w:footer="43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F4ABC" w:rsidRDefault="000F4ABC">
      <w:pPr>
        <w:spacing w:after="0" w:line="240" w:lineRule="auto"/>
      </w:pPr>
      <w:r>
        <w:separator/>
      </w:r>
    </w:p>
  </w:endnote>
  <w:endnote w:type="continuationSeparator" w:id="1">
    <w:p w:rsidR="000F4ABC" w:rsidRDefault="000F4AB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Helvetica Neue Bold Condensed">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Gothic">
    <w:altName w:val="Century Gothic"/>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328E" w:rsidRPr="004B41BB" w:rsidRDefault="00861CAD">
    <w:pPr>
      <w:pStyle w:val="Footer"/>
      <w:jc w:val="right"/>
      <w:rPr>
        <w:rFonts w:ascii="Arial" w:hAnsi="Arial" w:cs="Arial"/>
      </w:rPr>
    </w:pPr>
    <w:r w:rsidRPr="004B41BB">
      <w:rPr>
        <w:rFonts w:ascii="Arial" w:hAnsi="Arial" w:cs="Arial"/>
      </w:rPr>
      <w:fldChar w:fldCharType="begin"/>
    </w:r>
    <w:r w:rsidR="008B328E" w:rsidRPr="004B41BB">
      <w:rPr>
        <w:rFonts w:ascii="Arial" w:hAnsi="Arial" w:cs="Arial"/>
      </w:rPr>
      <w:instrText xml:space="preserve"> PAGE   \* MERGEFORMAT </w:instrText>
    </w:r>
    <w:r w:rsidRPr="004B41BB">
      <w:rPr>
        <w:rFonts w:ascii="Arial" w:hAnsi="Arial" w:cs="Arial"/>
      </w:rPr>
      <w:fldChar w:fldCharType="separate"/>
    </w:r>
    <w:r w:rsidR="001C2283">
      <w:rPr>
        <w:rFonts w:ascii="Arial" w:hAnsi="Arial" w:cs="Arial"/>
        <w:noProof/>
      </w:rPr>
      <w:t>6</w:t>
    </w:r>
    <w:r w:rsidRPr="004B41BB">
      <w:rPr>
        <w:rFonts w:ascii="Arial" w:hAnsi="Arial" w:cs="Arial"/>
      </w:rPr>
      <w:fldChar w:fldCharType="end"/>
    </w:r>
  </w:p>
  <w:p w:rsidR="008B328E" w:rsidRDefault="008B328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F4ABC" w:rsidRDefault="000F4ABC">
      <w:pPr>
        <w:spacing w:after="0" w:line="240" w:lineRule="auto"/>
      </w:pPr>
      <w:r>
        <w:separator/>
      </w:r>
    </w:p>
  </w:footnote>
  <w:footnote w:type="continuationSeparator" w:id="1">
    <w:p w:rsidR="000F4ABC" w:rsidRDefault="000F4AB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328E" w:rsidRDefault="00567D19">
    <w:pPr>
      <w:pStyle w:val="Header"/>
    </w:pPr>
    <w:r>
      <w:rPr>
        <w:noProof/>
        <w:lang w:val="en-US" w:eastAsia="en-US"/>
      </w:rPr>
      <w:drawing>
        <wp:inline distT="0" distB="0" distL="0" distR="0">
          <wp:extent cx="5676900" cy="107632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5676900" cy="1076325"/>
                  </a:xfrm>
                  <a:prstGeom prst="rect">
                    <a:avLst/>
                  </a:prstGeom>
                  <a:solidFill>
                    <a:srgbClr val="FFFFFF"/>
                  </a:solid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152C6DA8"/>
    <w:multiLevelType w:val="hybridMultilevel"/>
    <w:tmpl w:val="21B2FDF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333F2BC5"/>
    <w:multiLevelType w:val="hybridMultilevel"/>
    <w:tmpl w:val="A17483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44175ED8"/>
    <w:multiLevelType w:val="hybridMultilevel"/>
    <w:tmpl w:val="B40A83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drawingGridHorizontalSpacing w:val="100"/>
  <w:drawingGridVerticalSpacing w:val="0"/>
  <w:displayHorizontalDrawingGridEvery w:val="0"/>
  <w:displayVerticalDrawingGridEvery w:val="0"/>
  <w:noPunctuationKerning/>
  <w:characterSpacingControl w:val="doNotCompress"/>
  <w:hdrShapeDefaults>
    <o:shapedefaults v:ext="edit" spidmax="3074"/>
  </w:hdrShapeDefaults>
  <w:footnotePr>
    <w:pos w:val="beneathText"/>
    <w:footnote w:id="0"/>
    <w:footnote w:id="1"/>
  </w:footnotePr>
  <w:endnotePr>
    <w:endnote w:id="0"/>
    <w:endnote w:id="1"/>
  </w:endnotePr>
  <w:compat>
    <w:spaceForUL/>
    <w:balanceSingleByteDoubleByteWidth/>
    <w:doNotLeaveBackslashAlone/>
    <w:ulTrailSpace/>
    <w:doNotExpandShiftReturn/>
    <w:adjustLineHeightInTable/>
  </w:compat>
  <w:rsids>
    <w:rsidRoot w:val="00654B12"/>
    <w:rsid w:val="00027FBE"/>
    <w:rsid w:val="00042447"/>
    <w:rsid w:val="000A0D03"/>
    <w:rsid w:val="000E0747"/>
    <w:rsid w:val="000F4ABC"/>
    <w:rsid w:val="0011625F"/>
    <w:rsid w:val="001A4E2F"/>
    <w:rsid w:val="001C2283"/>
    <w:rsid w:val="001F3605"/>
    <w:rsid w:val="002C35B2"/>
    <w:rsid w:val="002D2FC0"/>
    <w:rsid w:val="00362B8C"/>
    <w:rsid w:val="0036585E"/>
    <w:rsid w:val="00443FC0"/>
    <w:rsid w:val="004821F2"/>
    <w:rsid w:val="004B41BB"/>
    <w:rsid w:val="0053056E"/>
    <w:rsid w:val="00567D19"/>
    <w:rsid w:val="005E5F62"/>
    <w:rsid w:val="00645859"/>
    <w:rsid w:val="00654B12"/>
    <w:rsid w:val="0066015E"/>
    <w:rsid w:val="00687571"/>
    <w:rsid w:val="006A0BFF"/>
    <w:rsid w:val="006F5A9C"/>
    <w:rsid w:val="00714C83"/>
    <w:rsid w:val="00725F58"/>
    <w:rsid w:val="007321DB"/>
    <w:rsid w:val="00836C26"/>
    <w:rsid w:val="00861CAD"/>
    <w:rsid w:val="008B328E"/>
    <w:rsid w:val="008C623E"/>
    <w:rsid w:val="008E2BAD"/>
    <w:rsid w:val="009535E2"/>
    <w:rsid w:val="00981E94"/>
    <w:rsid w:val="009F09DF"/>
    <w:rsid w:val="00A86E46"/>
    <w:rsid w:val="00AF00FB"/>
    <w:rsid w:val="00B53B30"/>
    <w:rsid w:val="00BB4995"/>
    <w:rsid w:val="00BE4001"/>
    <w:rsid w:val="00BE41C6"/>
    <w:rsid w:val="00C93F8E"/>
    <w:rsid w:val="00D809C6"/>
    <w:rsid w:val="00D87C56"/>
    <w:rsid w:val="00E36B4C"/>
    <w:rsid w:val="00E54EA2"/>
    <w:rsid w:val="00E86B95"/>
    <w:rsid w:val="00ED08A7"/>
    <w:rsid w:val="00F4302F"/>
    <w:rsid w:val="00F87D7A"/>
    <w:rsid w:val="00FF769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1CAD"/>
    <w:pPr>
      <w:widowControl w:val="0"/>
      <w:suppressAutoHyphens/>
      <w:spacing w:after="200" w:line="360" w:lineRule="auto"/>
    </w:pPr>
    <w:rPr>
      <w:rFonts w:ascii="Helvetica Neue" w:hAnsi="Helvetica Neue" w:cs="Cambria"/>
      <w:lang w:val="en-AU" w:eastAsia="ar-SA"/>
    </w:rPr>
  </w:style>
  <w:style w:type="paragraph" w:styleId="Heading3">
    <w:name w:val="heading 3"/>
    <w:basedOn w:val="Normal"/>
    <w:next w:val="Normal"/>
    <w:link w:val="Heading3Char"/>
    <w:uiPriority w:val="9"/>
    <w:qFormat/>
    <w:rsid w:val="00861CAD"/>
    <w:pPr>
      <w:keepNext/>
      <w:tabs>
        <w:tab w:val="num" w:pos="0"/>
      </w:tabs>
      <w:spacing w:before="240" w:after="60"/>
      <w:outlineLvl w:val="2"/>
    </w:pPr>
    <w:rPr>
      <w:rFonts w:ascii="Helvetica Neue Bold Condensed" w:hAnsi="Helvetica Neue Bold Condensed"/>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C41FF"/>
    <w:rPr>
      <w:rFonts w:ascii="Helvetica Neue Bold Condensed" w:hAnsi="Helvetica Neue Bold Condensed" w:cs="Cambria"/>
      <w:sz w:val="22"/>
      <w:lang w:val="en-AU" w:eastAsia="ar-SA"/>
    </w:rPr>
  </w:style>
  <w:style w:type="character" w:customStyle="1" w:styleId="WW8Num1z0">
    <w:name w:val="WW8Num1z0"/>
    <w:rsid w:val="00861CAD"/>
    <w:rPr>
      <w:rFonts w:ascii="Symbol" w:hAnsi="Symbol"/>
    </w:rPr>
  </w:style>
  <w:style w:type="character" w:customStyle="1" w:styleId="Absatz-Standardschriftart">
    <w:name w:val="Absatz-Standardschriftart"/>
    <w:rsid w:val="00861CAD"/>
  </w:style>
  <w:style w:type="character" w:customStyle="1" w:styleId="WW8Num1z1">
    <w:name w:val="WW8Num1z1"/>
    <w:rsid w:val="00861CAD"/>
    <w:rPr>
      <w:rFonts w:ascii="Courier New" w:hAnsi="Courier New"/>
    </w:rPr>
  </w:style>
  <w:style w:type="character" w:customStyle="1" w:styleId="WW8Num1z2">
    <w:name w:val="WW8Num1z2"/>
    <w:rsid w:val="00861CAD"/>
    <w:rPr>
      <w:rFonts w:ascii="Wingdings" w:hAnsi="Wingdings"/>
    </w:rPr>
  </w:style>
  <w:style w:type="character" w:customStyle="1" w:styleId="WW8Num2z0">
    <w:name w:val="WW8Num2z0"/>
    <w:rsid w:val="00861CAD"/>
    <w:rPr>
      <w:rFonts w:ascii="Symbol" w:hAnsi="Symbol"/>
    </w:rPr>
  </w:style>
  <w:style w:type="character" w:customStyle="1" w:styleId="WW8Num2z1">
    <w:name w:val="WW8Num2z1"/>
    <w:rsid w:val="00861CAD"/>
    <w:rPr>
      <w:rFonts w:ascii="Courier New" w:hAnsi="Courier New"/>
    </w:rPr>
  </w:style>
  <w:style w:type="character" w:customStyle="1" w:styleId="WW8Num2z2">
    <w:name w:val="WW8Num2z2"/>
    <w:rsid w:val="00861CAD"/>
    <w:rPr>
      <w:rFonts w:ascii="Wingdings" w:hAnsi="Wingdings"/>
    </w:rPr>
  </w:style>
  <w:style w:type="character" w:customStyle="1" w:styleId="HeaderChar">
    <w:name w:val="Header Char"/>
    <w:rsid w:val="00861CAD"/>
    <w:rPr>
      <w:rFonts w:ascii="Helvetica Neue" w:hAnsi="Helvetica Neue"/>
    </w:rPr>
  </w:style>
  <w:style w:type="character" w:customStyle="1" w:styleId="FooterChar">
    <w:name w:val="Footer Char"/>
    <w:uiPriority w:val="99"/>
    <w:rsid w:val="00861CAD"/>
    <w:rPr>
      <w:rFonts w:ascii="Helvetica Neue" w:hAnsi="Helvetica Neue"/>
    </w:rPr>
  </w:style>
  <w:style w:type="character" w:styleId="Hyperlink">
    <w:name w:val="Hyperlink"/>
    <w:basedOn w:val="DefaultParagraphFont"/>
    <w:uiPriority w:val="99"/>
    <w:semiHidden/>
    <w:rsid w:val="00861CAD"/>
    <w:rPr>
      <w:color w:val="000080"/>
      <w:u w:val="single"/>
    </w:rPr>
  </w:style>
  <w:style w:type="paragraph" w:customStyle="1" w:styleId="Heading">
    <w:name w:val="Heading"/>
    <w:basedOn w:val="Normal"/>
    <w:next w:val="BodyText"/>
    <w:rsid w:val="00861CAD"/>
    <w:pPr>
      <w:keepNext/>
      <w:spacing w:before="240" w:after="120"/>
    </w:pPr>
    <w:rPr>
      <w:rFonts w:ascii="Arial" w:hAnsi="Arial" w:cs="Tahoma"/>
      <w:sz w:val="28"/>
      <w:szCs w:val="28"/>
    </w:rPr>
  </w:style>
  <w:style w:type="paragraph" w:styleId="BodyText">
    <w:name w:val="Body Text"/>
    <w:basedOn w:val="Normal"/>
    <w:link w:val="BodyTextChar"/>
    <w:uiPriority w:val="99"/>
    <w:semiHidden/>
    <w:rsid w:val="00861CAD"/>
    <w:pPr>
      <w:spacing w:after="120"/>
    </w:pPr>
  </w:style>
  <w:style w:type="character" w:customStyle="1" w:styleId="BodyTextChar">
    <w:name w:val="Body Text Char"/>
    <w:basedOn w:val="DefaultParagraphFont"/>
    <w:link w:val="BodyText"/>
    <w:uiPriority w:val="99"/>
    <w:semiHidden/>
    <w:rsid w:val="00CC41FF"/>
    <w:rPr>
      <w:rFonts w:ascii="Helvetica Neue" w:hAnsi="Helvetica Neue" w:cs="Cambria"/>
      <w:lang w:val="en-AU" w:eastAsia="ar-SA"/>
    </w:rPr>
  </w:style>
  <w:style w:type="paragraph" w:styleId="List">
    <w:name w:val="List"/>
    <w:basedOn w:val="BodyText"/>
    <w:uiPriority w:val="99"/>
    <w:semiHidden/>
    <w:rsid w:val="00861CAD"/>
    <w:rPr>
      <w:rFonts w:cs="Tahoma"/>
    </w:rPr>
  </w:style>
  <w:style w:type="paragraph" w:styleId="Caption">
    <w:name w:val="caption"/>
    <w:basedOn w:val="Normal"/>
    <w:uiPriority w:val="35"/>
    <w:qFormat/>
    <w:rsid w:val="00861CAD"/>
    <w:pPr>
      <w:suppressLineNumbers/>
      <w:spacing w:before="120" w:after="120"/>
    </w:pPr>
    <w:rPr>
      <w:rFonts w:cs="Tahoma"/>
      <w:i/>
      <w:iCs/>
      <w:sz w:val="24"/>
      <w:szCs w:val="24"/>
    </w:rPr>
  </w:style>
  <w:style w:type="paragraph" w:customStyle="1" w:styleId="Index">
    <w:name w:val="Index"/>
    <w:basedOn w:val="Normal"/>
    <w:rsid w:val="00861CAD"/>
    <w:pPr>
      <w:suppressLineNumbers/>
    </w:pPr>
    <w:rPr>
      <w:rFonts w:cs="Tahoma"/>
    </w:rPr>
  </w:style>
  <w:style w:type="paragraph" w:styleId="Header">
    <w:name w:val="header"/>
    <w:basedOn w:val="Normal"/>
    <w:link w:val="HeaderChar1"/>
    <w:uiPriority w:val="99"/>
    <w:semiHidden/>
    <w:rsid w:val="00861CAD"/>
    <w:pPr>
      <w:tabs>
        <w:tab w:val="center" w:pos="4320"/>
        <w:tab w:val="right" w:pos="8640"/>
      </w:tabs>
      <w:spacing w:after="0" w:line="240" w:lineRule="auto"/>
    </w:pPr>
  </w:style>
  <w:style w:type="character" w:customStyle="1" w:styleId="HeaderChar1">
    <w:name w:val="Header Char1"/>
    <w:basedOn w:val="DefaultParagraphFont"/>
    <w:link w:val="Header"/>
    <w:uiPriority w:val="99"/>
    <w:semiHidden/>
    <w:rsid w:val="00CC41FF"/>
    <w:rPr>
      <w:rFonts w:ascii="Helvetica Neue" w:hAnsi="Helvetica Neue" w:cs="Cambria"/>
      <w:lang w:val="en-AU" w:eastAsia="ar-SA"/>
    </w:rPr>
  </w:style>
  <w:style w:type="paragraph" w:styleId="Footer">
    <w:name w:val="footer"/>
    <w:basedOn w:val="Normal"/>
    <w:link w:val="FooterChar1"/>
    <w:uiPriority w:val="99"/>
    <w:rsid w:val="00861CAD"/>
    <w:pPr>
      <w:tabs>
        <w:tab w:val="center" w:pos="4320"/>
        <w:tab w:val="right" w:pos="8640"/>
      </w:tabs>
      <w:spacing w:after="0" w:line="240" w:lineRule="auto"/>
    </w:pPr>
  </w:style>
  <w:style w:type="character" w:customStyle="1" w:styleId="FooterChar1">
    <w:name w:val="Footer Char1"/>
    <w:basedOn w:val="DefaultParagraphFont"/>
    <w:link w:val="Footer"/>
    <w:uiPriority w:val="99"/>
    <w:semiHidden/>
    <w:rsid w:val="00CC41FF"/>
    <w:rPr>
      <w:rFonts w:ascii="Helvetica Neue" w:hAnsi="Helvetica Neue" w:cs="Cambria"/>
      <w:lang w:val="en-AU" w:eastAsia="ar-SA"/>
    </w:rPr>
  </w:style>
  <w:style w:type="paragraph" w:styleId="BalloonText">
    <w:name w:val="Balloon Text"/>
    <w:basedOn w:val="Normal"/>
    <w:link w:val="BalloonTextChar"/>
    <w:uiPriority w:val="99"/>
    <w:semiHidden/>
    <w:unhideWhenUsed/>
    <w:rsid w:val="009F0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09DF"/>
    <w:rPr>
      <w:rFonts w:ascii="Tahoma" w:hAnsi="Tahoma" w:cs="Tahoma"/>
      <w:sz w:val="16"/>
      <w:szCs w:val="16"/>
      <w:lang w:val="en-AU" w:eastAsia="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6</Pages>
  <Words>2841</Words>
  <Characters>16199</Characters>
  <Application>Microsoft Office Word</Application>
  <DocSecurity>0</DocSecurity>
  <Lines>134</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Kent Duston</dc:creator>
  <cp:lastModifiedBy>Sue Watt</cp:lastModifiedBy>
  <cp:revision>4</cp:revision>
  <cp:lastPrinted>2012-05-03T22:44:00Z</cp:lastPrinted>
  <dcterms:created xsi:type="dcterms:W3CDTF">2015-03-01T21:59:00Z</dcterms:created>
  <dcterms:modified xsi:type="dcterms:W3CDTF">2015-03-01T22:21:00Z</dcterms:modified>
</cp:coreProperties>
</file>