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BAF" w:rsidRDefault="00033BAF" w:rsidP="00654B12">
      <w:pPr>
        <w:pStyle w:val="BodyText"/>
        <w:rPr>
          <w:rFonts w:ascii="Tahoma" w:hAnsi="Tahoma"/>
          <w:b/>
          <w:sz w:val="16"/>
        </w:rPr>
      </w:pPr>
      <w:r>
        <w:rPr>
          <w:rFonts w:ascii="Tahoma" w:hAnsi="Tahoma"/>
          <w:b/>
          <w:sz w:val="16"/>
        </w:rPr>
        <w:t>P.O Box 19056, Courtenay Place, Wellington</w:t>
      </w:r>
      <w:r w:rsidR="00F22605">
        <w:rPr>
          <w:rFonts w:ascii="Tahoma" w:hAnsi="Tahoma"/>
          <w:b/>
          <w:sz w:val="16"/>
        </w:rPr>
        <w:t xml:space="preserve"> 6149</w:t>
      </w:r>
      <w:r>
        <w:rPr>
          <w:rFonts w:ascii="Tahoma" w:hAnsi="Tahoma"/>
          <w:b/>
          <w:sz w:val="16"/>
        </w:rPr>
        <w:t>.</w:t>
      </w:r>
    </w:p>
    <w:p w:rsidR="00033BAF" w:rsidRDefault="00033BAF" w:rsidP="00AA1CB1">
      <w:pPr>
        <w:autoSpaceDE w:val="0"/>
        <w:spacing w:after="0" w:line="240" w:lineRule="auto"/>
        <w:rPr>
          <w:rFonts w:ascii="Arial" w:hAnsi="Arial" w:cs="CenturyGothic"/>
          <w:sz w:val="22"/>
          <w:szCs w:val="30"/>
          <w:lang w:val="en-US" w:eastAsia="en-US"/>
        </w:rPr>
      </w:pPr>
    </w:p>
    <w:p w:rsidR="002E0FDA" w:rsidRPr="002E0FDA" w:rsidRDefault="002E0FDA" w:rsidP="002E0FDA">
      <w:pPr>
        <w:spacing w:after="0" w:line="240" w:lineRule="auto"/>
        <w:rPr>
          <w:rFonts w:ascii="Arial" w:hAnsi="Arial" w:cs="Arial"/>
          <w:sz w:val="22"/>
          <w:szCs w:val="22"/>
        </w:rPr>
      </w:pPr>
      <w:r w:rsidRPr="002E0FDA">
        <w:rPr>
          <w:rFonts w:ascii="Arial" w:hAnsi="Arial" w:cs="Arial"/>
          <w:sz w:val="22"/>
          <w:szCs w:val="22"/>
        </w:rPr>
        <w:t>16 April 2015</w:t>
      </w:r>
    </w:p>
    <w:p w:rsidR="002E0FDA" w:rsidRPr="002E0FDA" w:rsidRDefault="002E0FDA" w:rsidP="002E0FDA">
      <w:pPr>
        <w:spacing w:after="0" w:line="240" w:lineRule="auto"/>
        <w:rPr>
          <w:rFonts w:ascii="Arial" w:hAnsi="Arial" w:cs="Arial"/>
          <w:sz w:val="22"/>
          <w:szCs w:val="22"/>
        </w:rPr>
      </w:pPr>
    </w:p>
    <w:p w:rsidR="002E0FDA" w:rsidRPr="002E0FDA" w:rsidRDefault="002E0FDA" w:rsidP="002E0FDA">
      <w:pPr>
        <w:spacing w:after="0" w:line="280" w:lineRule="exact"/>
        <w:rPr>
          <w:rFonts w:ascii="Arial" w:hAnsi="Arial" w:cs="Arial"/>
          <w:sz w:val="22"/>
          <w:szCs w:val="22"/>
        </w:rPr>
      </w:pPr>
      <w:r w:rsidRPr="002E0FDA">
        <w:rPr>
          <w:rFonts w:ascii="Arial" w:hAnsi="Arial" w:cs="Arial"/>
          <w:sz w:val="22"/>
          <w:szCs w:val="22"/>
        </w:rPr>
        <w:t>Contact: Craig Palmer, Interim President</w:t>
      </w:r>
    </w:p>
    <w:p w:rsidR="002E0FDA" w:rsidRPr="002E0FDA" w:rsidRDefault="002E0FDA" w:rsidP="002E0FDA">
      <w:pPr>
        <w:autoSpaceDE w:val="0"/>
        <w:spacing w:after="0" w:line="280" w:lineRule="exact"/>
        <w:rPr>
          <w:rFonts w:ascii="Arial" w:hAnsi="Arial" w:cs="Arial"/>
          <w:sz w:val="22"/>
          <w:szCs w:val="22"/>
        </w:rPr>
      </w:pPr>
      <w:r w:rsidRPr="002E0FDA">
        <w:rPr>
          <w:rFonts w:ascii="Arial" w:hAnsi="Arial" w:cs="Arial"/>
          <w:sz w:val="22"/>
          <w:szCs w:val="22"/>
        </w:rPr>
        <w:tab/>
        <w:t xml:space="preserve">   29 Moir St, Mt Victoria, Wellington 6011</w:t>
      </w:r>
    </w:p>
    <w:p w:rsidR="002E0FDA" w:rsidRPr="002E0FDA" w:rsidRDefault="002E0FDA" w:rsidP="002E0FDA">
      <w:pPr>
        <w:autoSpaceDE w:val="0"/>
        <w:spacing w:after="0" w:line="280" w:lineRule="exact"/>
        <w:ind w:firstLine="720"/>
        <w:rPr>
          <w:rFonts w:ascii="Arial" w:hAnsi="Arial" w:cs="Arial"/>
          <w:sz w:val="22"/>
          <w:szCs w:val="22"/>
        </w:rPr>
      </w:pPr>
      <w:r w:rsidRPr="002E0FDA">
        <w:rPr>
          <w:rFonts w:ascii="Arial" w:hAnsi="Arial" w:cs="Arial"/>
          <w:sz w:val="22"/>
          <w:szCs w:val="22"/>
        </w:rPr>
        <w:t xml:space="preserve">   Phone: (04) 384 2127</w:t>
      </w:r>
    </w:p>
    <w:p w:rsidR="002E0FDA" w:rsidRPr="002E0FDA" w:rsidRDefault="002E0FDA" w:rsidP="002E0FDA">
      <w:pPr>
        <w:spacing w:after="0" w:line="280" w:lineRule="exact"/>
        <w:ind w:firstLine="720"/>
        <w:rPr>
          <w:rFonts w:ascii="Arial" w:hAnsi="Arial" w:cs="Arial"/>
          <w:color w:val="000000"/>
          <w:sz w:val="22"/>
          <w:szCs w:val="22"/>
        </w:rPr>
      </w:pPr>
      <w:r w:rsidRPr="002E0FDA">
        <w:rPr>
          <w:rFonts w:ascii="Arial" w:hAnsi="Arial" w:cs="Arial"/>
          <w:sz w:val="22"/>
          <w:szCs w:val="22"/>
        </w:rPr>
        <w:t xml:space="preserve">   Email:  </w:t>
      </w:r>
      <w:r w:rsidRPr="002E0FDA">
        <w:rPr>
          <w:rFonts w:ascii="Arial" w:hAnsi="Arial" w:cs="Arial"/>
          <w:color w:val="000000"/>
          <w:sz w:val="22"/>
          <w:szCs w:val="22"/>
        </w:rPr>
        <w:t xml:space="preserve"> palmerspring@actrix.co.nz</w:t>
      </w:r>
    </w:p>
    <w:p w:rsidR="002E0FDA" w:rsidRPr="002E0FDA" w:rsidRDefault="002E0FDA" w:rsidP="002E0FDA">
      <w:pPr>
        <w:spacing w:after="0" w:line="280" w:lineRule="exact"/>
        <w:rPr>
          <w:rFonts w:ascii="Arial" w:hAnsi="Arial" w:cs="Arial"/>
          <w:sz w:val="22"/>
          <w:szCs w:val="22"/>
        </w:rPr>
      </w:pPr>
    </w:p>
    <w:p w:rsidR="002E0FDA" w:rsidRPr="002E0FDA" w:rsidRDefault="002E0FDA" w:rsidP="002E0FDA">
      <w:pPr>
        <w:spacing w:after="0" w:line="280" w:lineRule="exact"/>
        <w:rPr>
          <w:rFonts w:ascii="Arial" w:hAnsi="Arial" w:cs="Arial"/>
          <w:sz w:val="22"/>
          <w:szCs w:val="22"/>
        </w:rPr>
      </w:pPr>
      <w:r w:rsidRPr="002E0FDA">
        <w:rPr>
          <w:rFonts w:ascii="Arial" w:hAnsi="Arial" w:cs="Arial"/>
          <w:sz w:val="22"/>
          <w:szCs w:val="22"/>
        </w:rPr>
        <w:t>Draft Long-term Plan</w:t>
      </w:r>
    </w:p>
    <w:p w:rsidR="002E0FDA" w:rsidRPr="002E0FDA" w:rsidRDefault="002E0FDA" w:rsidP="002E0FDA">
      <w:pPr>
        <w:spacing w:after="0" w:line="280" w:lineRule="exact"/>
        <w:rPr>
          <w:rFonts w:ascii="Arial" w:hAnsi="Arial" w:cs="Arial"/>
          <w:sz w:val="22"/>
          <w:szCs w:val="22"/>
        </w:rPr>
      </w:pPr>
      <w:r w:rsidRPr="002E0FDA">
        <w:rPr>
          <w:rFonts w:ascii="Arial" w:hAnsi="Arial" w:cs="Arial"/>
          <w:sz w:val="22"/>
          <w:szCs w:val="22"/>
        </w:rPr>
        <w:t>Wellington City Council</w:t>
      </w:r>
    </w:p>
    <w:p w:rsidR="002E0FDA" w:rsidRPr="002E0FDA" w:rsidRDefault="002E0FDA" w:rsidP="002E0FDA">
      <w:pPr>
        <w:spacing w:after="0" w:line="280" w:lineRule="exact"/>
        <w:rPr>
          <w:rFonts w:ascii="Arial" w:hAnsi="Arial" w:cs="Arial"/>
          <w:sz w:val="22"/>
          <w:szCs w:val="22"/>
        </w:rPr>
      </w:pPr>
      <w:r w:rsidRPr="002E0FDA">
        <w:rPr>
          <w:rFonts w:ascii="Arial" w:hAnsi="Arial" w:cs="Arial"/>
          <w:sz w:val="22"/>
          <w:szCs w:val="22"/>
        </w:rPr>
        <w:t>Policy and Reporting (COPO01)</w:t>
      </w:r>
    </w:p>
    <w:p w:rsidR="002E0FDA" w:rsidRPr="002E0FDA" w:rsidRDefault="002E0FDA" w:rsidP="002E0FDA">
      <w:pPr>
        <w:pStyle w:val="Default"/>
        <w:spacing w:line="280" w:lineRule="exact"/>
        <w:rPr>
          <w:rFonts w:ascii="Arial" w:hAnsi="Arial" w:cs="Arial"/>
          <w:sz w:val="22"/>
          <w:szCs w:val="22"/>
        </w:rPr>
      </w:pPr>
      <w:r w:rsidRPr="002E0FDA">
        <w:rPr>
          <w:rFonts w:ascii="Arial" w:hAnsi="Arial" w:cs="Arial"/>
          <w:sz w:val="22"/>
          <w:szCs w:val="22"/>
        </w:rPr>
        <w:t xml:space="preserve">PO Box 2199, Wellington 6140 </w:t>
      </w:r>
    </w:p>
    <w:p w:rsidR="002E0FDA" w:rsidRPr="002E0FDA" w:rsidRDefault="002E0FDA" w:rsidP="002E0FDA">
      <w:pPr>
        <w:pStyle w:val="Default"/>
        <w:spacing w:line="280" w:lineRule="exact"/>
        <w:rPr>
          <w:rFonts w:ascii="Arial" w:hAnsi="Arial" w:cs="Arial"/>
          <w:sz w:val="22"/>
          <w:szCs w:val="22"/>
        </w:rPr>
      </w:pPr>
      <w:r w:rsidRPr="002E0FDA">
        <w:rPr>
          <w:rFonts w:ascii="Arial" w:hAnsi="Arial" w:cs="Arial"/>
          <w:bCs/>
          <w:sz w:val="22"/>
          <w:szCs w:val="22"/>
        </w:rPr>
        <w:t>Email</w:t>
      </w:r>
      <w:r w:rsidRPr="002E0FDA">
        <w:rPr>
          <w:rFonts w:ascii="Arial" w:hAnsi="Arial" w:cs="Arial"/>
          <w:sz w:val="22"/>
          <w:szCs w:val="22"/>
        </w:rPr>
        <w:t xml:space="preserve">:  longtermplan@wcc.govt.nz </w:t>
      </w:r>
    </w:p>
    <w:p w:rsidR="002E0FDA" w:rsidRDefault="002E0FDA" w:rsidP="002E0FDA">
      <w:pPr>
        <w:spacing w:after="0" w:line="280" w:lineRule="exact"/>
        <w:rPr>
          <w:rFonts w:ascii="Arial" w:hAnsi="Arial" w:cs="Arial"/>
          <w:sz w:val="22"/>
          <w:szCs w:val="22"/>
        </w:rPr>
      </w:pPr>
    </w:p>
    <w:p w:rsidR="002E0FDA" w:rsidRPr="002E0FDA" w:rsidRDefault="002E0FDA" w:rsidP="002E0FDA">
      <w:pPr>
        <w:spacing w:after="0" w:line="280" w:lineRule="exact"/>
        <w:rPr>
          <w:rFonts w:ascii="Arial" w:hAnsi="Arial" w:cs="Arial"/>
          <w:sz w:val="22"/>
          <w:szCs w:val="22"/>
        </w:rPr>
      </w:pPr>
    </w:p>
    <w:p w:rsidR="002E0FDA" w:rsidRPr="002E0FDA" w:rsidRDefault="002E0FDA" w:rsidP="001776F2">
      <w:pPr>
        <w:spacing w:after="120" w:line="240" w:lineRule="auto"/>
        <w:rPr>
          <w:rFonts w:ascii="Arial" w:hAnsi="Arial" w:cs="Arial"/>
          <w:b/>
          <w:sz w:val="23"/>
          <w:szCs w:val="23"/>
        </w:rPr>
      </w:pPr>
      <w:r w:rsidRPr="002E0FDA">
        <w:rPr>
          <w:rFonts w:ascii="Arial" w:hAnsi="Arial" w:cs="Arial"/>
          <w:b/>
          <w:sz w:val="23"/>
          <w:szCs w:val="23"/>
        </w:rPr>
        <w:t>Submission on Draft Long-term Plan 2015-2025</w:t>
      </w:r>
    </w:p>
    <w:p w:rsidR="002E0FDA" w:rsidRPr="002E0FDA" w:rsidRDefault="002E0FDA" w:rsidP="001776F2">
      <w:pPr>
        <w:spacing w:after="0" w:line="310" w:lineRule="exact"/>
        <w:rPr>
          <w:rFonts w:ascii="Arial" w:hAnsi="Arial" w:cs="Arial"/>
          <w:sz w:val="22"/>
          <w:szCs w:val="22"/>
        </w:rPr>
      </w:pPr>
      <w:r w:rsidRPr="002E0FDA">
        <w:rPr>
          <w:rFonts w:ascii="Arial" w:hAnsi="Arial" w:cs="Arial"/>
          <w:sz w:val="22"/>
          <w:szCs w:val="22"/>
        </w:rPr>
        <w:t>This submission focuses on some key aspects of the Draft Plan which we believe are integral to realising the Council’s stated community outcomes: a connected city, an eco-city, a people-centred city, and a dynamic central city.</w:t>
      </w:r>
    </w:p>
    <w:p w:rsidR="002E0FDA" w:rsidRPr="002E0FDA" w:rsidRDefault="002E0FDA" w:rsidP="002E0FDA">
      <w:pPr>
        <w:spacing w:after="0" w:line="240" w:lineRule="auto"/>
        <w:rPr>
          <w:rFonts w:ascii="Arial" w:hAnsi="Arial" w:cs="Arial"/>
          <w:sz w:val="22"/>
          <w:szCs w:val="22"/>
        </w:rPr>
      </w:pPr>
    </w:p>
    <w:p w:rsidR="002E0FDA" w:rsidRPr="002E0FDA" w:rsidRDefault="002E0FDA" w:rsidP="002E0FDA">
      <w:pPr>
        <w:spacing w:after="0" w:line="300" w:lineRule="exact"/>
        <w:rPr>
          <w:rFonts w:ascii="Arial" w:hAnsi="Arial" w:cs="Arial"/>
          <w:sz w:val="22"/>
          <w:szCs w:val="22"/>
        </w:rPr>
      </w:pPr>
      <w:r w:rsidRPr="002E0FDA">
        <w:rPr>
          <w:rFonts w:ascii="Arial" w:hAnsi="Arial" w:cs="Arial"/>
          <w:sz w:val="22"/>
          <w:szCs w:val="22"/>
        </w:rPr>
        <w:t>A representative of the Association would like to speak at a submission hearing.</w:t>
      </w:r>
    </w:p>
    <w:p w:rsidR="002E0FDA" w:rsidRPr="002E0FDA" w:rsidRDefault="002E0FDA" w:rsidP="002E0FDA">
      <w:pPr>
        <w:spacing w:after="0" w:line="300" w:lineRule="exact"/>
        <w:rPr>
          <w:rFonts w:ascii="Arial" w:hAnsi="Arial" w:cs="Arial"/>
          <w:sz w:val="22"/>
          <w:szCs w:val="22"/>
        </w:rPr>
      </w:pPr>
    </w:p>
    <w:p w:rsidR="002E0FDA" w:rsidRPr="002E0FDA" w:rsidRDefault="002E0FDA" w:rsidP="001776F2">
      <w:pPr>
        <w:spacing w:after="120" w:line="240" w:lineRule="auto"/>
        <w:rPr>
          <w:rFonts w:ascii="Arial" w:hAnsi="Arial" w:cs="Arial"/>
          <w:b/>
          <w:sz w:val="22"/>
          <w:szCs w:val="22"/>
        </w:rPr>
      </w:pPr>
      <w:r w:rsidRPr="002E0FDA">
        <w:rPr>
          <w:rFonts w:ascii="Arial" w:hAnsi="Arial" w:cs="Arial"/>
          <w:b/>
          <w:sz w:val="22"/>
          <w:szCs w:val="22"/>
        </w:rPr>
        <w:t>General comments</w:t>
      </w:r>
    </w:p>
    <w:p w:rsidR="002E0FDA" w:rsidRPr="002E0FDA" w:rsidRDefault="002E0FDA" w:rsidP="001776F2">
      <w:pPr>
        <w:pStyle w:val="ListParagraph"/>
        <w:numPr>
          <w:ilvl w:val="0"/>
          <w:numId w:val="9"/>
        </w:numPr>
        <w:spacing w:after="80" w:line="310" w:lineRule="exact"/>
        <w:rPr>
          <w:rFonts w:ascii="Arial" w:hAnsi="Arial" w:cs="Arial"/>
          <w:sz w:val="22"/>
          <w:szCs w:val="22"/>
        </w:rPr>
      </w:pPr>
      <w:r w:rsidRPr="002E0FDA">
        <w:rPr>
          <w:rFonts w:ascii="Arial" w:hAnsi="Arial" w:cs="Arial"/>
          <w:sz w:val="22"/>
          <w:szCs w:val="22"/>
        </w:rPr>
        <w:t>The Mt Victoria Residents’ Association Inc (MVRA) finds the presentation and marketing tone of the Consultation Document make it difficult to sift out the concrete facts needed by Councillors and submitters like ourselves to arrive at well-informed judgements on the merits of the Draft Plan.  Understanding is also not helped by information being spread through the whole suite of documents or buried in Appendices, for example the information required by Schedule 10 of the Local Government Act on council-controlled organizations is provided at the end of the Statements of Service Provision, but there is no financial data on them anywhere.  In addition, we hope Councillors are provided with clearer and more consistent financial data than that provided in the suite of documents.  Lack of a summary overview and inconsistencies in the data belie the statement “We want to be transparent about likely costs” (page 17) and do not inspire any confidence in the accuracy of data given.  For example:</w:t>
      </w:r>
    </w:p>
    <w:p w:rsidR="002E0FDA" w:rsidRPr="002E0FDA" w:rsidRDefault="002E0FDA" w:rsidP="001776F2">
      <w:pPr>
        <w:pStyle w:val="ListParagraph"/>
        <w:numPr>
          <w:ilvl w:val="1"/>
          <w:numId w:val="9"/>
        </w:numPr>
        <w:spacing w:after="80" w:line="310" w:lineRule="exact"/>
        <w:ind w:left="792"/>
        <w:rPr>
          <w:rFonts w:ascii="Arial" w:hAnsi="Arial" w:cs="Arial"/>
          <w:sz w:val="22"/>
          <w:szCs w:val="22"/>
        </w:rPr>
      </w:pPr>
      <w:r w:rsidRPr="002E0FDA">
        <w:rPr>
          <w:rFonts w:ascii="Arial" w:hAnsi="Arial" w:cs="Arial"/>
          <w:sz w:val="22"/>
          <w:szCs w:val="22"/>
        </w:rPr>
        <w:t>The documents do not provide a clear summary overview of the 10-year total proposed operational expenditure and capital expenditure (such as Appendix 1 below), or a similar summary of the eleven major projects discussed in the Consultation Document.</w:t>
      </w:r>
    </w:p>
    <w:p w:rsidR="002E0FDA" w:rsidRPr="002E0FDA" w:rsidRDefault="002E0FDA" w:rsidP="001776F2">
      <w:pPr>
        <w:pStyle w:val="ListParagraph"/>
        <w:numPr>
          <w:ilvl w:val="1"/>
          <w:numId w:val="9"/>
        </w:numPr>
        <w:spacing w:after="80" w:line="310" w:lineRule="exact"/>
        <w:ind w:left="792"/>
        <w:rPr>
          <w:rFonts w:ascii="Arial" w:hAnsi="Arial" w:cs="Arial"/>
          <w:sz w:val="22"/>
          <w:szCs w:val="22"/>
        </w:rPr>
      </w:pPr>
      <w:r w:rsidRPr="002E0FDA">
        <w:rPr>
          <w:rFonts w:ascii="Arial" w:hAnsi="Arial" w:cs="Arial"/>
          <w:sz w:val="22"/>
          <w:szCs w:val="22"/>
        </w:rPr>
        <w:t>The total ($5,197 million) and components of the proposed 10-year total operational expenditure (Consultation Document pie chart on page 15) do not match the total ($2,604 million) and components in the Infrastructure Strategy data (see Appendix 1 below) despite the Infrastructure Strategy including data on the social, recreation, cultural and council activities.</w:t>
      </w:r>
    </w:p>
    <w:p w:rsidR="001776F2" w:rsidRDefault="002E0FDA" w:rsidP="001776F2">
      <w:pPr>
        <w:pStyle w:val="ListParagraph"/>
        <w:numPr>
          <w:ilvl w:val="1"/>
          <w:numId w:val="9"/>
        </w:numPr>
        <w:spacing w:after="80" w:line="310" w:lineRule="exact"/>
        <w:ind w:left="792"/>
        <w:rPr>
          <w:rFonts w:ascii="Arial" w:hAnsi="Arial" w:cs="Arial"/>
          <w:sz w:val="22"/>
          <w:szCs w:val="22"/>
        </w:rPr>
      </w:pPr>
      <w:r w:rsidRPr="002E0FDA">
        <w:rPr>
          <w:rFonts w:ascii="Arial" w:hAnsi="Arial" w:cs="Arial"/>
          <w:sz w:val="22"/>
          <w:szCs w:val="22"/>
        </w:rPr>
        <w:t xml:space="preserve">Although the total proposed 10-year total capital expenditure ($1,763 million on page 17) </w:t>
      </w:r>
    </w:p>
    <w:p w:rsidR="001776F2" w:rsidRPr="001776F2" w:rsidRDefault="001776F2" w:rsidP="001776F2">
      <w:pPr>
        <w:spacing w:after="0" w:line="240" w:lineRule="auto"/>
        <w:ind w:left="432"/>
        <w:rPr>
          <w:rFonts w:ascii="Arial" w:hAnsi="Arial" w:cs="Arial"/>
          <w:sz w:val="22"/>
          <w:szCs w:val="22"/>
        </w:rPr>
      </w:pPr>
    </w:p>
    <w:p w:rsidR="002E0FDA" w:rsidRPr="001776F2" w:rsidRDefault="002E0FDA" w:rsidP="001776F2">
      <w:pPr>
        <w:spacing w:after="80" w:line="310" w:lineRule="exact"/>
        <w:ind w:left="720"/>
        <w:rPr>
          <w:rFonts w:ascii="Arial" w:hAnsi="Arial" w:cs="Arial"/>
          <w:sz w:val="22"/>
          <w:szCs w:val="22"/>
        </w:rPr>
      </w:pPr>
      <w:r w:rsidRPr="001776F2">
        <w:rPr>
          <w:rFonts w:ascii="Arial" w:hAnsi="Arial" w:cs="Arial"/>
          <w:sz w:val="22"/>
          <w:szCs w:val="22"/>
        </w:rPr>
        <w:t>matches the total in the Infrastructure Strategy data (see Appendix 1), the components do not match – see Transport for example.  Nor does the total match the total applications of capital funding ($1,814 million) in the Funding Impact Statement.</w:t>
      </w:r>
    </w:p>
    <w:p w:rsidR="002E0FDA" w:rsidRPr="002E0FDA" w:rsidRDefault="002E0FDA" w:rsidP="001776F2">
      <w:pPr>
        <w:pStyle w:val="ListParagraph"/>
        <w:numPr>
          <w:ilvl w:val="1"/>
          <w:numId w:val="9"/>
        </w:numPr>
        <w:spacing w:after="0" w:line="310" w:lineRule="exact"/>
        <w:ind w:left="792"/>
        <w:rPr>
          <w:rFonts w:ascii="Arial" w:hAnsi="Arial" w:cs="Arial"/>
          <w:sz w:val="22"/>
          <w:szCs w:val="22"/>
        </w:rPr>
      </w:pPr>
      <w:r w:rsidRPr="002E0FDA">
        <w:rPr>
          <w:rFonts w:ascii="Arial" w:hAnsi="Arial" w:cs="Arial"/>
          <w:sz w:val="22"/>
          <w:szCs w:val="22"/>
        </w:rPr>
        <w:t>None of the documents gives a breakdown of the $6.5 billion of assets as a base reference when considering capital and operational expenditures.</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In addition, the Draft Plan’s documents do not appear to comply with some provisions of the Local Government Act 2002, for example, the Infrastructure Strategy does not contain some information required by section 101B including significant decisions about capital expenditure, their timing, the main options, and estimated costs.  Some of this information is provided in the Consultation Document, but not in a coherent way.  </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The MVRA is concerned the focus of the Draft Plan on economic growth seriously undermines progress on our city’s community outcomes.  The 2014 Wellington Region Genuine Progress Index (GPI) shows from 2001-2013 the economic and environmental well-being aspects increased by 11.1% and 11.6% respectively, but the social aspect improved by only 0.7%, and the cultural aspect declined by 7.6%.  This suggests the Draft Plan should concentrate on developing our social and cultural capital.</w:t>
      </w:r>
    </w:p>
    <w:p w:rsidR="002E0FDA" w:rsidRPr="002E0FDA" w:rsidRDefault="002E0FDA" w:rsidP="002E0FDA">
      <w:pPr>
        <w:spacing w:after="0" w:line="300" w:lineRule="exact"/>
        <w:rPr>
          <w:rFonts w:ascii="Arial" w:hAnsi="Arial" w:cs="Arial"/>
          <w:sz w:val="22"/>
          <w:szCs w:val="22"/>
        </w:rPr>
      </w:pPr>
    </w:p>
    <w:p w:rsidR="002E0FDA" w:rsidRPr="002E0FDA" w:rsidRDefault="002E0FDA" w:rsidP="001776F2">
      <w:pPr>
        <w:spacing w:after="120" w:line="240" w:lineRule="auto"/>
        <w:rPr>
          <w:rFonts w:ascii="Arial" w:hAnsi="Arial" w:cs="Arial"/>
          <w:b/>
          <w:sz w:val="22"/>
          <w:szCs w:val="22"/>
        </w:rPr>
      </w:pPr>
      <w:r w:rsidRPr="002E0FDA">
        <w:rPr>
          <w:rFonts w:ascii="Arial" w:hAnsi="Arial" w:cs="Arial"/>
          <w:b/>
          <w:sz w:val="22"/>
          <w:szCs w:val="22"/>
        </w:rPr>
        <w:t>Key choices</w:t>
      </w:r>
    </w:p>
    <w:p w:rsidR="002E0FDA" w:rsidRPr="002E0FDA" w:rsidRDefault="002E0FDA" w:rsidP="002E0FDA">
      <w:pPr>
        <w:pStyle w:val="ListParagraph"/>
        <w:numPr>
          <w:ilvl w:val="0"/>
          <w:numId w:val="9"/>
        </w:numPr>
        <w:spacing w:after="0" w:line="300" w:lineRule="exact"/>
        <w:rPr>
          <w:rFonts w:ascii="Arial" w:hAnsi="Arial" w:cs="Arial"/>
          <w:sz w:val="22"/>
          <w:szCs w:val="22"/>
        </w:rPr>
      </w:pPr>
      <w:r w:rsidRPr="002E0FDA">
        <w:rPr>
          <w:rFonts w:ascii="Arial" w:hAnsi="Arial" w:cs="Arial"/>
          <w:sz w:val="22"/>
          <w:szCs w:val="22"/>
        </w:rPr>
        <w:t>We are concerned the Draft Plan lacks a sense of fiscal restraint.</w:t>
      </w:r>
    </w:p>
    <w:p w:rsidR="002E0FDA" w:rsidRPr="002E0FDA" w:rsidRDefault="002E0FDA" w:rsidP="002E0FDA">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note the rates increase choices are either a 10-year average of 3.1% (but 4.1% over the next three years) or 3.9% (4.5% over the next three years).  Both exceed the Statistics NZ data and Treasury forecasts for the Consumers Price Index which has been below 2% since December 2011, and is forecast to be around 2% out to 2019.  Operating spending (including depreciation) is proposed to increase by 43.5% from $$423.8 million in 2014/15 to $608.0 million in 2024/25.  Half of the increase is in payments to staff and suppliers. It is unreasonable for the Council to continue to expect ratepayers to tolerate such increases when ratepayers themselves must continue to live within tight financial constraints.  In the interests of fiscal responsibility, we urge the Council to review its own staffing and pay rates, particularly the CEO’s and managerial salaries, to reflect the representation of a city with fewer than 200.000 residents.</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Part of the rates increase is to service the proposed doubling in borrowing over 10 years from some $409 million in 2014/15 to $815 million by 2024/25.  We agree borrowing is an effective mechanism for spreading the cost of long-term investment across the years when residents reap the benefits, but disagree with such a large increase as it is being proposed to finance some projects we do not agree to (see below).</w:t>
      </w:r>
    </w:p>
    <w:p w:rsidR="002E0FDA" w:rsidRPr="002E0FDA" w:rsidRDefault="002E0FDA" w:rsidP="001776F2">
      <w:pPr>
        <w:spacing w:after="0" w:line="240" w:lineRule="auto"/>
        <w:rPr>
          <w:rFonts w:ascii="Arial" w:hAnsi="Arial" w:cs="Arial"/>
          <w:sz w:val="22"/>
          <w:szCs w:val="22"/>
        </w:rPr>
      </w:pPr>
    </w:p>
    <w:p w:rsidR="003A1A07"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It is apparent from the Infrastructure Strategy data (see Appendix 1 below) that $478 million or 45% of the 10-year capital investment of $1,763 million is going to ‘Property and corporate assets”.  Of this, $100 million is apparently proposed for the Civic Square precinct, but for what projects the rest is being spent is unspecified as the description of this activity is vague, and the </w:t>
      </w:r>
      <w:r w:rsidR="003A1A07">
        <w:rPr>
          <w:rFonts w:ascii="Arial" w:hAnsi="Arial" w:cs="Arial"/>
          <w:sz w:val="22"/>
          <w:szCs w:val="22"/>
        </w:rPr>
        <w:br/>
      </w:r>
    </w:p>
    <w:p w:rsidR="002E0FDA" w:rsidRPr="003A1A07" w:rsidRDefault="002E0FDA" w:rsidP="003A1A07">
      <w:pPr>
        <w:spacing w:after="0" w:line="310" w:lineRule="exact"/>
        <w:ind w:left="360"/>
        <w:rPr>
          <w:rFonts w:ascii="Arial" w:hAnsi="Arial" w:cs="Arial"/>
          <w:sz w:val="22"/>
          <w:szCs w:val="22"/>
        </w:rPr>
      </w:pPr>
      <w:r w:rsidRPr="003A1A07">
        <w:rPr>
          <w:rFonts w:ascii="Arial" w:hAnsi="Arial" w:cs="Arial"/>
          <w:sz w:val="22"/>
          <w:szCs w:val="22"/>
        </w:rPr>
        <w:t xml:space="preserve">information on page 16 of the Consultation Document shows spending only for the Town Hal (59 million) and strengthening Civic Campus ($13 million).  </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Appendix 1 below also suggests capital funding for renewals is being diverted from transport, the three waters and social infrastructure to fund the large increase for Property and corporate assets – the Consultation Document states three-water renewals are being reduced by $101 million compared to previous LTP forecasts.  This appears unwise in light of higher risks from more extreme climate-change events.</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120" w:line="240" w:lineRule="auto"/>
        <w:rPr>
          <w:rFonts w:ascii="Arial" w:hAnsi="Arial" w:cs="Arial"/>
          <w:b/>
          <w:sz w:val="22"/>
          <w:szCs w:val="22"/>
        </w:rPr>
      </w:pPr>
      <w:r w:rsidRPr="002E0FDA">
        <w:rPr>
          <w:rFonts w:ascii="Arial" w:hAnsi="Arial" w:cs="Arial"/>
          <w:b/>
          <w:sz w:val="22"/>
          <w:szCs w:val="22"/>
        </w:rPr>
        <w:t>The Wellington economy and jobs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The Mt Victoria Residents’ Association believes that a people-centred city that is creative, diverse, environmentally sustainable and inclusive is a key ingredient in keeping jobs in Wellington and attracting new businesses and jobs.  The Council can contribute by ensuring its own services and contracts encourage local entrepreneurship and provide good quality jobs, not casualised labour in contracted-out core services.  We urge the Council to maintain its core services in house, and continue its commitment to paying its staff a living wage rate to reduce poverty and inequality, and also because it means there is more money to support local businesses.</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Having a dynamic centre is key to maintaining what’s special about Wellington.  The Council should be more strategic in granting resource consents.  For example, it should not grant any further consents for new office blocks on the waterfront environs (such as those between Queen’s Wharf and the stadium) or for suburban shopping malls, such as the development at Lyall Bay, (malls are being closed all over the United States as young people prefer inner-city living and active or public transport modes for moving around).  </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As we commented in our 13 March 2015 submission on the Council’s proposed Urban Growth Plan, a people-centre, eco, connected and dynamic city means keeping the city compact, with population increases accommodated in the CBD, along the growth spine, and within some existing suburbs where infrastructure and services already exist.  We do not support greenfields developments where there are no infrastructure, services or shops and where people would be reliant on private cars to access work and services.</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are pleased the Council has worked with other councils to establish the Wellington Regional Economic Development Agency and agree to its funding.  We also welcome the ideas of a central-city tech hub and a screen production enterprise zone to attract new residents, create jobs and attract tourists, although the budget implications of the enterprise zone are not provided.  We also suggest that the proposed international film museum is located in this zone, rather than in the central city where space is highly-prized, as it would enhance the Wellywood character of this Miramar area.</w:t>
      </w:r>
    </w:p>
    <w:p w:rsidR="002E0FDA" w:rsidRPr="002E0FDA" w:rsidRDefault="002E0FDA" w:rsidP="001776F2">
      <w:pPr>
        <w:spacing w:after="0" w:line="240" w:lineRule="auto"/>
        <w:rPr>
          <w:rFonts w:ascii="Arial" w:hAnsi="Arial" w:cs="Arial"/>
          <w:sz w:val="22"/>
          <w:szCs w:val="22"/>
        </w:rPr>
      </w:pPr>
    </w:p>
    <w:p w:rsidR="003A1A07" w:rsidRDefault="002E0FDA" w:rsidP="003A1A07">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We strongly oppose the proposed airport runway extension.  The irreparable damage to the coastal marine environment outweighs any potential economic gains.  Stated gains are mostly to </w:t>
      </w:r>
    </w:p>
    <w:p w:rsidR="003A1A07" w:rsidRPr="003A1A07" w:rsidRDefault="003A1A07" w:rsidP="003A1A07">
      <w:pPr>
        <w:pStyle w:val="ListParagraph"/>
        <w:spacing w:after="0" w:line="240" w:lineRule="auto"/>
        <w:rPr>
          <w:rFonts w:ascii="Arial" w:hAnsi="Arial" w:cs="Arial"/>
          <w:sz w:val="22"/>
          <w:szCs w:val="22"/>
        </w:rPr>
      </w:pPr>
    </w:p>
    <w:p w:rsidR="001776F2" w:rsidRPr="003A1A07" w:rsidRDefault="002E0FDA" w:rsidP="003A1A07">
      <w:pPr>
        <w:spacing w:after="0" w:line="310" w:lineRule="exact"/>
        <w:ind w:left="360"/>
        <w:rPr>
          <w:rFonts w:ascii="Arial" w:hAnsi="Arial" w:cs="Arial"/>
          <w:sz w:val="22"/>
          <w:szCs w:val="22"/>
        </w:rPr>
      </w:pPr>
      <w:r w:rsidRPr="003A1A07">
        <w:rPr>
          <w:rFonts w:ascii="Arial" w:hAnsi="Arial" w:cs="Arial"/>
          <w:sz w:val="22"/>
          <w:szCs w:val="22"/>
        </w:rPr>
        <w:t>private interests, including Infratil, it is very expensive, it is not su</w:t>
      </w:r>
      <w:r w:rsidR="003A1A07" w:rsidRPr="003A1A07">
        <w:rPr>
          <w:rFonts w:ascii="Arial" w:hAnsi="Arial" w:cs="Arial"/>
          <w:sz w:val="22"/>
          <w:szCs w:val="22"/>
        </w:rPr>
        <w:t xml:space="preserve">pported by the airline industry </w:t>
      </w:r>
    </w:p>
    <w:p w:rsidR="002E0FDA" w:rsidRPr="001776F2" w:rsidRDefault="002E0FDA" w:rsidP="001776F2">
      <w:pPr>
        <w:spacing w:after="0" w:line="310" w:lineRule="exact"/>
        <w:ind w:left="360"/>
        <w:rPr>
          <w:rFonts w:ascii="Arial" w:hAnsi="Arial" w:cs="Arial"/>
          <w:sz w:val="22"/>
          <w:szCs w:val="22"/>
        </w:rPr>
      </w:pPr>
      <w:r w:rsidRPr="001776F2">
        <w:rPr>
          <w:rFonts w:ascii="Arial" w:hAnsi="Arial" w:cs="Arial"/>
          <w:sz w:val="22"/>
          <w:szCs w:val="22"/>
        </w:rPr>
        <w:t>itself (BARNZ), and financial support from central and surrounding local government is dubious.</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also oppose Council funding for a single-purpose convention centre, and to Council’s agreeing not to compete with it through Council-owned venues.  As stated in our 14 August 2014 submission, the benefits are mainly to private interests, the growth in large conferences may not materialise, and any new jobs will be mostly casual, low-paid hospitality jobs.  Once the Town Hall is reopened, Positively Wellington Venues will again have six flexible, multi-purpose and closely-located venues which can adequately cater for most conferences and which should be used more often.</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120" w:line="240" w:lineRule="auto"/>
        <w:rPr>
          <w:rFonts w:ascii="Arial" w:hAnsi="Arial" w:cs="Arial"/>
          <w:b/>
          <w:sz w:val="22"/>
          <w:szCs w:val="22"/>
        </w:rPr>
      </w:pPr>
      <w:r w:rsidRPr="002E0FDA">
        <w:rPr>
          <w:rFonts w:ascii="Arial" w:hAnsi="Arial" w:cs="Arial"/>
          <w:b/>
          <w:sz w:val="22"/>
          <w:szCs w:val="22"/>
        </w:rPr>
        <w:t>Venues, events and visitor attractions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We welcome in principle the proposed $21 million allocation for redevelopment of the Basin Reserve, provided a reserve management plan, as required by legislation, is prepared and consulted on before any development plans proceed.  This should precede any further development of the ‘Master Plan’, which must be made publicly available for comment prior to any implementation.  We urge that plans include enhancing the Basin Reserve as a multi-purpose public recreation space, as required under its Deed, strengthening and upgrading the historic 1924 pavilion, refurbishing the Groundsman’s Cottage, and some restoration of the north and south gate entrances.  The Council’s continuing support for the flyover and a new building inside the Basin Reserve is deplorable given the findings of the Board of Inquiry, and the secrecy surrounding future plans is contrary to good governance and stewardship of public assets.  </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support the proposal to strengthen and upgrade the Museum of Wellington City &amp; Sea to provide greater access to this historic building and its maritime collection.</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We do not agree to spending on a new indoor arena as a venue for occasional large music events.  We suggest instead the Council explore ways of partially or fully covering the stadium for such events.  This would have the added advantage of increasing the stadium’s multi-purpose usage.  </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120" w:line="240" w:lineRule="auto"/>
        <w:rPr>
          <w:rFonts w:ascii="Arial" w:hAnsi="Arial" w:cs="Arial"/>
          <w:b/>
          <w:sz w:val="22"/>
          <w:szCs w:val="22"/>
        </w:rPr>
      </w:pPr>
      <w:r w:rsidRPr="002E0FDA">
        <w:rPr>
          <w:rFonts w:ascii="Arial" w:hAnsi="Arial" w:cs="Arial"/>
          <w:b/>
          <w:sz w:val="22"/>
          <w:szCs w:val="22"/>
        </w:rPr>
        <w:t>Valuing and enhancing Wellington’s attractiveness</w:t>
      </w:r>
    </w:p>
    <w:p w:rsidR="002E0FDA" w:rsidRPr="002E0FDA" w:rsidRDefault="002E0FDA" w:rsidP="001776F2">
      <w:pPr>
        <w:spacing w:after="120" w:line="240" w:lineRule="auto"/>
        <w:rPr>
          <w:rFonts w:ascii="Arial" w:hAnsi="Arial" w:cs="Arial"/>
          <w:i/>
          <w:sz w:val="22"/>
          <w:szCs w:val="22"/>
        </w:rPr>
      </w:pPr>
      <w:r w:rsidRPr="002E0FDA">
        <w:rPr>
          <w:rFonts w:ascii="Arial" w:hAnsi="Arial" w:cs="Arial"/>
          <w:i/>
          <w:sz w:val="22"/>
          <w:szCs w:val="22"/>
        </w:rPr>
        <w:t>Mt Victoria heritage value</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Mount Victoria is the most visible of Wellington’s inner-city residential neighbourhoods as seen from the central city.  Its many nineteenth-century villas and cottages are a unique and defining feature in the international context.  Currently there is a risk that incremental individual changes will result in the city unwittingly and irreversibly losing one of its most appealing and distinctive features.  Internationally, heritage or character neighbourhoods near city centres are increasingly being valued as economic and social assets.  They attract young entrepreneurs, new skills and people who seek walkability, compactness and safety.  </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It is critical that the City now take stock of the heritage houses and buildings in such a prominent neighbourhood.  This will provide a baseline record, ensuring that changes are consciously </w:t>
      </w:r>
      <w:r w:rsidR="003A1A07">
        <w:rPr>
          <w:rFonts w:ascii="Arial" w:hAnsi="Arial" w:cs="Arial"/>
          <w:sz w:val="22"/>
          <w:szCs w:val="22"/>
        </w:rPr>
        <w:br/>
      </w:r>
      <w:r w:rsidR="003A1A07">
        <w:rPr>
          <w:rFonts w:ascii="Arial" w:hAnsi="Arial" w:cs="Arial"/>
          <w:sz w:val="22"/>
          <w:szCs w:val="22"/>
        </w:rPr>
        <w:lastRenderedPageBreak/>
        <w:br/>
      </w:r>
      <w:r w:rsidRPr="002E0FDA">
        <w:rPr>
          <w:rFonts w:ascii="Arial" w:hAnsi="Arial" w:cs="Arial"/>
          <w:sz w:val="22"/>
          <w:szCs w:val="22"/>
        </w:rPr>
        <w:t>chosen avoiding haphazard, short-sighted detrimental change.  The Association urges Council to include an allocation of $60,000 over three or four years in its Long-term Plan for phased implementation.  Further information is provided in Appendix 2 below.</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0" w:line="310" w:lineRule="exact"/>
        <w:rPr>
          <w:rFonts w:ascii="Arial" w:hAnsi="Arial" w:cs="Arial"/>
          <w:i/>
          <w:sz w:val="22"/>
          <w:szCs w:val="22"/>
        </w:rPr>
      </w:pPr>
      <w:r w:rsidRPr="002E0FDA">
        <w:rPr>
          <w:rFonts w:ascii="Arial" w:hAnsi="Arial" w:cs="Arial"/>
          <w:i/>
          <w:sz w:val="22"/>
          <w:szCs w:val="22"/>
        </w:rPr>
        <w:t>Civic Square developments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applaud spending $75.2 million to earthquake strengthen the Town Hall, Central Library and Civic Building, and the Municipal Building should also be included.  Civic Centre was originally designed as an integrated whole, today it is the best public civic space in Aotearoa/NZ; and it should remain in public hands.  The Town Hall has served Wellington very well over long years as a multi-purpose venue with wonderful acoustics for music.  Keeping it multi-purpose means it can serve as a ‘music hub’ alongside other activities.  We do not agree it become a single-purpose music venue.  We urge the Council to reconsider its misguided decision regarding a convention centre so that the Town Hall and Michael Fowler Centre can continue as convention venues.  Pending strengthening, we would like to see it open again until work starts, as is the case for the St James Theatre and the Opera House.</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The Central Library with its wavy glass face leavens the otherwise solemn facades in Civic Square, and we would strongly oppose any further ‘design and build of a modernized library’ as completely unnecessary.  We also strongly oppose any ‘rationalisation’ of library services that might involve closures or their being turned into a ‘community-driven model’, which implies devolution.</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strongly oppose any long-term leasing of the Municipal Building, Michael Fowler Centre car park and Jack Ilott Green as this would effectively mean their privatisation.  Leasing is apparently necessary to fund earthquake strengthening, but we suggest the strengthening could be more than funded from not proceeding with the airport runway extension and indoor arena.  The Green and small lawn above Capital E are the only larger green spaces in the whole Civic precinct.  Leasing the Municipal Building when the Draft Plan indicates Council staff will occupy space in the Civic Building and Central Library but also need to lease further space elsewhere makes no sense.  Instead, Council could continue to occupy some of the Municipal Building and rent out the rest.  We also disagree with spending large amounts of money on unnecessary workplace redesign and modernization for Council staff, and question the real need to separate the shared building services if the buildings are all to be strengthened.</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0" w:line="310" w:lineRule="exact"/>
        <w:rPr>
          <w:rFonts w:ascii="Arial" w:hAnsi="Arial" w:cs="Arial"/>
          <w:i/>
          <w:sz w:val="22"/>
          <w:szCs w:val="22"/>
        </w:rPr>
      </w:pPr>
      <w:r w:rsidRPr="002E0FDA">
        <w:rPr>
          <w:rFonts w:ascii="Arial" w:hAnsi="Arial" w:cs="Arial"/>
          <w:i/>
          <w:sz w:val="22"/>
          <w:szCs w:val="22"/>
        </w:rPr>
        <w:t xml:space="preserve">Frank Kitts Park </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We agree that the large areas of open lawn should be retained at Frank Kitts Park, and the children’s playground could be expanded a little as it is very popular and one of the few inner-city playgrounds.  But we disagree with re-orienting the Park to face straight into the north-westerlies, and to adding a Chinese garden here.  The Chinese garden does not need to be on the waterfront, so should be located elsewhere such as in the Botanic Gardens.   </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0" w:line="310" w:lineRule="exact"/>
        <w:rPr>
          <w:rFonts w:ascii="Arial" w:hAnsi="Arial" w:cs="Arial"/>
          <w:i/>
          <w:sz w:val="22"/>
          <w:szCs w:val="22"/>
        </w:rPr>
      </w:pPr>
      <w:r w:rsidRPr="002E0FDA">
        <w:rPr>
          <w:rFonts w:ascii="Arial" w:hAnsi="Arial" w:cs="Arial"/>
          <w:i/>
          <w:sz w:val="22"/>
          <w:szCs w:val="22"/>
        </w:rPr>
        <w:t>North-south routes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We agree in principle to funding for the upgrade of the city end of Adelaide Road, and of Kent </w:t>
      </w:r>
      <w:r w:rsidR="003A1A07">
        <w:rPr>
          <w:rFonts w:ascii="Arial" w:hAnsi="Arial" w:cs="Arial"/>
          <w:sz w:val="22"/>
          <w:szCs w:val="22"/>
        </w:rPr>
        <w:br/>
      </w:r>
      <w:r w:rsidR="003A1A07">
        <w:rPr>
          <w:rFonts w:ascii="Arial" w:hAnsi="Arial" w:cs="Arial"/>
          <w:sz w:val="22"/>
          <w:szCs w:val="22"/>
        </w:rPr>
        <w:lastRenderedPageBreak/>
        <w:br/>
      </w:r>
      <w:r w:rsidRPr="002E0FDA">
        <w:rPr>
          <w:rFonts w:ascii="Arial" w:hAnsi="Arial" w:cs="Arial"/>
          <w:sz w:val="22"/>
          <w:szCs w:val="22"/>
        </w:rPr>
        <w:t>and Cambridge Terraces.  Prior to any development, a reserve management plan, as required by legislation, should be prepared, as parts of Kent and Cambridge Terraces are Canal Reserve land governed by a Trust Deed. We do not want to see a repeat of the development of Victoria Street with removal of large trees of various varieties, five lanes of traffic that will be alienating and dangerous for pedestrians and cyclists, and fringed with the same tussocky mono-culture that prevails across the city.  The Terraces have the potential to be a proper ceremonial route from the sea to the historic precinct including the Basin Reserve, Pukeahu Memorial Park, and Government House.  Ideally, the New World supermarket could be relocated so the route looks down from the Basin Reserve across Chaffers Park to the sea, and the underlying stream opened up in parts of the Terraces, as historic reminders of the canal.</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In addition, we urge a formal review of District Plan provisions for both Adelaide Road and Kent and Cambridge Terraces before planning begins, and also of Taranaki Street.  It is important that planning rules governing height limits, sunlight planes, view shafts etc. be thoroughly reviewed and consulted upon before concept plans and designs are finalised.  Hence it is our plea that the Urban growth Plan specifically set aside funds for these reviews.</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0" w:line="310" w:lineRule="exact"/>
        <w:rPr>
          <w:rFonts w:ascii="Arial" w:hAnsi="Arial" w:cs="Arial"/>
          <w:i/>
          <w:sz w:val="22"/>
          <w:szCs w:val="22"/>
        </w:rPr>
      </w:pPr>
      <w:r w:rsidRPr="002E0FDA">
        <w:rPr>
          <w:rFonts w:ascii="Arial" w:hAnsi="Arial" w:cs="Arial"/>
          <w:i/>
          <w:sz w:val="22"/>
          <w:szCs w:val="22"/>
        </w:rPr>
        <w:t>Upgrading Home and Hania Streets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Home and Hania Streets in Mt Victoria run across the foot of Mt Victoria and are tucked in behind the vehicle yards that line Kent Terrace.  We suggest the streets’ attractiveness for residents and many visitors to the Greek Orthodox Church, its public venue and The Church next door could be enhanced by an allocation of $100,000 for tree planting and rubbish bins, in consultation with the businesses and the Greek Church.</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0" w:line="310" w:lineRule="exact"/>
        <w:rPr>
          <w:rFonts w:ascii="Arial" w:hAnsi="Arial" w:cs="Arial"/>
          <w:i/>
          <w:sz w:val="22"/>
          <w:szCs w:val="22"/>
        </w:rPr>
      </w:pPr>
      <w:r w:rsidRPr="002E0FDA">
        <w:rPr>
          <w:rFonts w:ascii="Arial" w:hAnsi="Arial" w:cs="Arial"/>
          <w:i/>
          <w:sz w:val="22"/>
          <w:szCs w:val="22"/>
        </w:rPr>
        <w:t>Town Belt and other green open spaces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urge the Council to respect the intentions of the city’s founders as set down in the 1873 Town Belt Deed in all of its actions regarding the Town Belt and to retain this green backdrop to the CBD and surrounding suburbs as public open recreation space for the enjoyment of all Wellingtonians.  The Association continues to oppose any legislative change, unless such legislation specifies that the 1873 Deed is the over-riding guide, or that the Town Belt is a legal person (similar to the Whanganui river).  Otherwise, we believe legislation will weaken protection of the Town Belt because it gives the Council flexible powers to manage the Town Belt which could enable a larger unitary local authority to have little or no regard for the intent of the original Deed.  The Town Belt and other green open spaces become even more attractive as further development of the CBD and growth spine occurs to accommodate population increase.</w:t>
      </w:r>
    </w:p>
    <w:p w:rsidR="002E0FDA" w:rsidRPr="002E0FDA" w:rsidRDefault="002E0FDA" w:rsidP="001776F2">
      <w:pPr>
        <w:spacing w:after="0" w:line="240" w:lineRule="auto"/>
        <w:rPr>
          <w:rFonts w:ascii="Arial" w:hAnsi="Arial" w:cs="Arial"/>
          <w:i/>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support funding for tracks and walkways, including separating walkers and cyclists, further planting, and pest control as proposed in the Mt Victoria Matairangi landscape plan, but urge that it remain focused on serving the citizens of Wellington, and not just visitors (see our submission of 23 March 2015).</w:t>
      </w:r>
    </w:p>
    <w:p w:rsidR="002E0FDA" w:rsidRDefault="002E0FDA" w:rsidP="001776F2">
      <w:pPr>
        <w:spacing w:after="0" w:line="310" w:lineRule="exact"/>
        <w:rPr>
          <w:rFonts w:ascii="Arial" w:hAnsi="Arial" w:cs="Arial"/>
          <w:sz w:val="22"/>
          <w:szCs w:val="22"/>
        </w:rPr>
      </w:pPr>
    </w:p>
    <w:p w:rsidR="003A1A07" w:rsidRDefault="003A1A07" w:rsidP="001776F2">
      <w:pPr>
        <w:spacing w:after="0" w:line="310" w:lineRule="exact"/>
        <w:rPr>
          <w:rFonts w:ascii="Arial" w:hAnsi="Arial" w:cs="Arial"/>
          <w:sz w:val="22"/>
          <w:szCs w:val="22"/>
        </w:rPr>
      </w:pPr>
    </w:p>
    <w:p w:rsidR="003A1A07" w:rsidRPr="002E0FDA" w:rsidRDefault="003A1A07" w:rsidP="001776F2">
      <w:pPr>
        <w:spacing w:after="0" w:line="310" w:lineRule="exact"/>
        <w:rPr>
          <w:rFonts w:ascii="Arial" w:hAnsi="Arial" w:cs="Arial"/>
          <w:sz w:val="22"/>
          <w:szCs w:val="22"/>
        </w:rPr>
      </w:pPr>
    </w:p>
    <w:p w:rsidR="002E0FDA" w:rsidRPr="002E0FDA" w:rsidRDefault="002E0FDA" w:rsidP="001776F2">
      <w:pPr>
        <w:spacing w:after="0" w:line="310" w:lineRule="exact"/>
        <w:rPr>
          <w:rFonts w:ascii="Arial" w:hAnsi="Arial" w:cs="Arial"/>
          <w:i/>
          <w:sz w:val="22"/>
          <w:szCs w:val="22"/>
        </w:rPr>
      </w:pPr>
      <w:r w:rsidRPr="002E0FDA">
        <w:rPr>
          <w:rFonts w:ascii="Arial" w:hAnsi="Arial" w:cs="Arial"/>
          <w:i/>
          <w:sz w:val="22"/>
          <w:szCs w:val="22"/>
        </w:rPr>
        <w:t>Strengthening and protecting heritage buildings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We are pleased to see funding provided for grants to strengthen heritage buildings, but $1 million per year seems woefully inadequate.  We urge that some of these funds are directed towards St Gerard’s Monastery, a significant landmark not just for Mt Victoria, but for the whole city.  </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In our past discussions with Councillors and council staff we have expressed our concern that the District Plan rules are not being enforced to preserve the heritage character of Mount Victoria.  Instead, Council actions are accommodating inappropriate demolition and new development which does not comply with the planning rules re site coverage and re the North Mt Victoria Character Area, and is undermining the amenity values of the suburb.  We urge the Council to play its part by opposing any demolitions of pre-1930s buildings, with demolition only as a last resort.  Any assessment of structural integrity when considering demolition must be done by a truly independent structural engineer.</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note increased funding for rates remission, including where the owner chooses to remove the building.  We do not agree with this, as we are concerned that this may encourage the removal of further character buildings from Mt Victoria, in particular fine examples of art deco, rather than encouraging their owners to strengthen them.</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0" w:line="310" w:lineRule="exact"/>
        <w:rPr>
          <w:rFonts w:ascii="Arial" w:hAnsi="Arial" w:cs="Arial"/>
          <w:i/>
          <w:sz w:val="22"/>
          <w:szCs w:val="22"/>
        </w:rPr>
      </w:pPr>
      <w:r w:rsidRPr="002E0FDA">
        <w:rPr>
          <w:rFonts w:ascii="Arial" w:hAnsi="Arial" w:cs="Arial"/>
          <w:i/>
          <w:sz w:val="22"/>
          <w:szCs w:val="22"/>
        </w:rPr>
        <w:t>Waterfront and Clyde Quay Boat Harbour</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Apart from the mention of upgrading Frank Kitts Park, the Draft Plan appears to be silent on other waterfront developments.  The number of people on any day on Wellington’s waterfront, enjoying the ambience, is a testament to the need to keep this area as public open space.  Now that the Council has brought waterfront activities back in-house, unfortunately with the same people, we urge that the Council not continue the company’s history of privatising public space and proposing unsympathetic developments that result in expensive court cases with local groups.  We also urge the Council not to proceed with the building at north Kumutoto as it still exceeds height limits specified by the Environment Court and is out of character with surrounding waterfront heritage.  We also oppose the grandiose proposal to put more structures in the space next to the Meridian building as this is an unnecessary waste of money and ruins the open space feeling of the area.</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oppose any further development of buildings on Chaffers/Waitangi Park, including the proposed transition building adjacent to Te Papa.  Wellingtonians have clearly stated for many years their desire to see the Park kept as public open space.</w:t>
      </w:r>
    </w:p>
    <w:p w:rsidR="002E0FDA" w:rsidRPr="002E0FDA" w:rsidRDefault="002E0FDA" w:rsidP="001776F2">
      <w:pPr>
        <w:spacing w:after="0" w:line="240" w:lineRule="auto"/>
        <w:rPr>
          <w:rFonts w:ascii="Arial" w:hAnsi="Arial" w:cs="Arial"/>
          <w:b/>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While the Clyde Quay Boat Harbour is not specifically mentioned in the Draft Plan, we continue to support improving some public access around it, and preserving it largely as is.  As an important historical feature in a publicly-owned space, this marina deserves careful and widespread consultation if any changes are to be made.  Accordingly, we believe that any resource consents required from the City Council for land-based features need full unrestricted public notification.  We suggest funds be allocated for further historical research into the founding intentions for the boat harbour and the boat sheds.  It is expected that this will reinforce the view that the offshore </w:t>
      </w:r>
      <w:r w:rsidR="00252B41">
        <w:rPr>
          <w:rFonts w:ascii="Arial" w:hAnsi="Arial" w:cs="Arial"/>
          <w:sz w:val="22"/>
          <w:szCs w:val="22"/>
        </w:rPr>
        <w:br/>
      </w:r>
      <w:r w:rsidR="00252B41">
        <w:rPr>
          <w:rFonts w:ascii="Arial" w:hAnsi="Arial" w:cs="Arial"/>
          <w:sz w:val="22"/>
          <w:szCs w:val="22"/>
        </w:rPr>
        <w:lastRenderedPageBreak/>
        <w:br/>
      </w:r>
      <w:r w:rsidRPr="002E0FDA">
        <w:rPr>
          <w:rFonts w:ascii="Arial" w:hAnsi="Arial" w:cs="Arial"/>
          <w:sz w:val="22"/>
          <w:szCs w:val="22"/>
        </w:rPr>
        <w:t>moorings and the intrinsically necessary sheds were built as a publicly owned and controlled facility.  Such evidence will greatly assist the public debate on the future of the historically unique boat harbour.</w:t>
      </w:r>
    </w:p>
    <w:p w:rsidR="002E0FDA" w:rsidRPr="002E0FDA" w:rsidRDefault="002E0FDA" w:rsidP="001776F2">
      <w:pPr>
        <w:spacing w:after="0" w:line="310" w:lineRule="exact"/>
        <w:rPr>
          <w:rFonts w:ascii="Arial" w:hAnsi="Arial" w:cs="Arial"/>
          <w:sz w:val="22"/>
          <w:szCs w:val="22"/>
        </w:rPr>
      </w:pPr>
    </w:p>
    <w:p w:rsidR="002E0FDA" w:rsidRPr="002E0FDA" w:rsidRDefault="002E0FDA" w:rsidP="001776F2">
      <w:pPr>
        <w:spacing w:after="120" w:line="240" w:lineRule="auto"/>
        <w:rPr>
          <w:rFonts w:ascii="Arial" w:hAnsi="Arial" w:cs="Arial"/>
          <w:b/>
          <w:sz w:val="22"/>
          <w:szCs w:val="22"/>
        </w:rPr>
      </w:pPr>
      <w:r w:rsidRPr="002E0FDA">
        <w:rPr>
          <w:rFonts w:ascii="Arial" w:hAnsi="Arial" w:cs="Arial"/>
          <w:b/>
          <w:sz w:val="22"/>
          <w:szCs w:val="22"/>
        </w:rPr>
        <w:t>Transport choices</w:t>
      </w: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oppose Council’s support of NZTA’s state highway plans as these are likely to encourage more cars to come into the CBD.  We are very concerned to see $433 million, the majority of transport capital funding, being spent on maintaining and renewing roads, primarily to support private car use.  The funds should instead be invested in sustainable, long-term solutions which reduce dependence on car travel.  Priority should be given to making our city accessible and safe for people on foot and bicycle, and encouraging public transport use.  Public transport plans should take a long-term view and include a light rail link between the railway station and the airport, utilising the Pirie Street bus tunnel.</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Part of the attraction of Wellington as a people-centred city, and our point of differentiation from other large New Zealand cities, is our relative lack of huge motorways and flyovers slicing through our city.  We strongly oppose Council’s support of NZTA’s short-sighted plans for the Basin Reserve flyover, a second Mt Victoria tunnel, the seizing of Town Belt land to widen Ruahine St, and widening of Wellington Rd.  We urge instead the Council work on developing the Basin Reserve roundabout along the lines of the Basin Reserve Roundabout Improvement Option presented to the Board of Inquiry.  The severity of congestion in the area is exaggerated and occurs only during a few peak times per week.  It could be better addressed by encouraging people out of their cars and into active or public transport modes.  </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 xml:space="preserve">We support the Council’s plan to invest $45 million in cycling as a priority, and would like to see more invested in improving pedestrian infrastructure and safety.  We urge the Council to lobby the Regional Transport Committee to reconsider its decision to abolish the trolley buses and replace them with diesel and hybrid buses.  This is a regrettable and retrograde step.  Rather, we would like to see a commitment to full electrification of the bus fleet as soon as possible.  We also question the advisability of the larger buses for Bus Rapid Transit as these are more likely to increase bus congestion in the CBD because they will need to stop for longer to allow more passengers to enter and exit.  </w:t>
      </w:r>
    </w:p>
    <w:p w:rsidR="002E0FDA" w:rsidRPr="002E0FDA" w:rsidRDefault="002E0FDA" w:rsidP="001776F2">
      <w:pPr>
        <w:spacing w:after="0" w:line="240" w:lineRule="auto"/>
        <w:rPr>
          <w:rFonts w:ascii="Arial" w:hAnsi="Arial" w:cs="Arial"/>
          <w:sz w:val="22"/>
          <w:szCs w:val="22"/>
        </w:rPr>
      </w:pPr>
    </w:p>
    <w:p w:rsidR="002E0FDA" w:rsidRPr="002E0FDA" w:rsidRDefault="002E0FDA" w:rsidP="001776F2">
      <w:pPr>
        <w:pStyle w:val="ListParagraph"/>
        <w:numPr>
          <w:ilvl w:val="0"/>
          <w:numId w:val="9"/>
        </w:numPr>
        <w:spacing w:after="0" w:line="310" w:lineRule="exact"/>
        <w:rPr>
          <w:rFonts w:ascii="Arial" w:hAnsi="Arial" w:cs="Arial"/>
          <w:sz w:val="22"/>
          <w:szCs w:val="22"/>
        </w:rPr>
      </w:pPr>
      <w:r w:rsidRPr="002E0FDA">
        <w:rPr>
          <w:rFonts w:ascii="Arial" w:hAnsi="Arial" w:cs="Arial"/>
          <w:sz w:val="22"/>
          <w:szCs w:val="22"/>
        </w:rPr>
        <w:t>We would like to see air quality monitors in the inner city at bus stops and high-volume roads.  Nanotechnology has significantly reduced the cost of air quality monitoring devices.  Of great concern is the concentration of diesel exhaust near bus stops during peak hours.  By having display panels on the monitors, the travelling public can be more informed on the long-term cumulative health impacts they are being subjected to.</w:t>
      </w:r>
    </w:p>
    <w:p w:rsidR="002E0FDA" w:rsidRPr="002E0FDA" w:rsidRDefault="002E0FDA" w:rsidP="001776F2">
      <w:pPr>
        <w:spacing w:after="0" w:line="310" w:lineRule="exact"/>
        <w:rPr>
          <w:rFonts w:ascii="Arial" w:hAnsi="Arial" w:cs="Arial"/>
          <w:sz w:val="22"/>
          <w:szCs w:val="22"/>
        </w:rPr>
      </w:pPr>
    </w:p>
    <w:p w:rsidR="002E0FDA" w:rsidRDefault="002E0FDA" w:rsidP="002E0FDA">
      <w:pPr>
        <w:spacing w:after="0" w:line="300" w:lineRule="exact"/>
        <w:rPr>
          <w:rFonts w:ascii="Arial" w:hAnsi="Arial" w:cs="Arial"/>
          <w:sz w:val="22"/>
          <w:szCs w:val="22"/>
        </w:rPr>
      </w:pPr>
    </w:p>
    <w:p w:rsidR="002E0FDA" w:rsidRDefault="002E0FDA" w:rsidP="002E0FDA">
      <w:pPr>
        <w:spacing w:after="0" w:line="280" w:lineRule="exact"/>
        <w:rPr>
          <w:rFonts w:ascii="Arial" w:hAnsi="Arial" w:cs="Arial"/>
          <w:sz w:val="22"/>
          <w:szCs w:val="22"/>
        </w:rPr>
      </w:pPr>
      <w:r>
        <w:rPr>
          <w:rFonts w:ascii="Arial" w:hAnsi="Arial" w:cs="Arial"/>
          <w:sz w:val="22"/>
          <w:szCs w:val="22"/>
        </w:rPr>
        <w:t>Craig Palmer</w:t>
      </w:r>
    </w:p>
    <w:p w:rsidR="002E0FDA" w:rsidRDefault="002E0FDA" w:rsidP="002E0FDA">
      <w:pPr>
        <w:spacing w:after="0" w:line="280" w:lineRule="exact"/>
        <w:rPr>
          <w:rFonts w:ascii="Arial" w:hAnsi="Arial" w:cs="Arial"/>
          <w:sz w:val="22"/>
          <w:szCs w:val="22"/>
        </w:rPr>
      </w:pPr>
      <w:r>
        <w:rPr>
          <w:rFonts w:ascii="Arial" w:hAnsi="Arial" w:cs="Arial"/>
          <w:sz w:val="22"/>
          <w:szCs w:val="22"/>
        </w:rPr>
        <w:t>Interim President</w:t>
      </w:r>
    </w:p>
    <w:p w:rsidR="002E0FDA" w:rsidRDefault="002E0FDA" w:rsidP="002E0FDA">
      <w:pPr>
        <w:rPr>
          <w:rFonts w:cs="Arial"/>
        </w:rPr>
      </w:pPr>
      <w:r>
        <w:rPr>
          <w:rFonts w:cs="Arial"/>
        </w:rPr>
        <w:br w:type="page"/>
      </w:r>
    </w:p>
    <w:p w:rsidR="002E0FDA" w:rsidRDefault="002E0FDA" w:rsidP="002E0FDA">
      <w:pPr>
        <w:rPr>
          <w:rFonts w:cs="Arial"/>
        </w:rPr>
      </w:pPr>
    </w:p>
    <w:p w:rsidR="002E0FDA" w:rsidRPr="003A1A07" w:rsidRDefault="002E0FDA" w:rsidP="002E0FDA">
      <w:pPr>
        <w:jc w:val="right"/>
        <w:rPr>
          <w:rFonts w:ascii="Arial" w:hAnsi="Arial" w:cs="Arial"/>
          <w:b/>
          <w:bCs/>
          <w:color w:val="000000"/>
          <w:sz w:val="22"/>
          <w:szCs w:val="22"/>
        </w:rPr>
      </w:pPr>
      <w:r w:rsidRPr="003A1A07">
        <w:rPr>
          <w:rFonts w:ascii="Arial" w:hAnsi="Arial" w:cs="Arial"/>
          <w:b/>
          <w:bCs/>
          <w:color w:val="000000"/>
          <w:sz w:val="22"/>
          <w:szCs w:val="22"/>
        </w:rPr>
        <w:t>Appendix 1</w:t>
      </w:r>
    </w:p>
    <w:p w:rsidR="002E0FDA" w:rsidRDefault="002E0FDA" w:rsidP="002E0FDA"/>
    <w:tbl>
      <w:tblPr>
        <w:tblW w:w="5000" w:type="pct"/>
        <w:tblLayout w:type="fixed"/>
        <w:tblLook w:val="04A0"/>
      </w:tblPr>
      <w:tblGrid>
        <w:gridCol w:w="2479"/>
        <w:gridCol w:w="137"/>
        <w:gridCol w:w="796"/>
        <w:gridCol w:w="933"/>
        <w:gridCol w:w="933"/>
        <w:gridCol w:w="850"/>
        <w:gridCol w:w="1217"/>
        <w:gridCol w:w="820"/>
        <w:gridCol w:w="167"/>
        <w:gridCol w:w="635"/>
        <w:gridCol w:w="270"/>
        <w:gridCol w:w="127"/>
        <w:gridCol w:w="709"/>
      </w:tblGrid>
      <w:tr w:rsidR="002E0FDA" w:rsidRPr="002E0FDA" w:rsidTr="000C25A1">
        <w:trPr>
          <w:trHeight w:val="270"/>
        </w:trPr>
        <w:tc>
          <w:tcPr>
            <w:tcW w:w="3041" w:type="pct"/>
            <w:gridSpan w:val="6"/>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color w:val="000000"/>
                <w:sz w:val="22"/>
                <w:szCs w:val="22"/>
              </w:rPr>
            </w:pPr>
            <w:r w:rsidRPr="002E0FDA">
              <w:rPr>
                <w:rFonts w:ascii="Arial" w:hAnsi="Arial" w:cs="Arial"/>
                <w:b/>
                <w:bCs/>
                <w:color w:val="000000"/>
                <w:sz w:val="22"/>
                <w:szCs w:val="22"/>
              </w:rPr>
              <w:t>Summary of Infrastructure Strategy data - 10-year totals 2015/16-2024/25 ($ million)</w:t>
            </w:r>
          </w:p>
          <w:p w:rsidR="002E0FDA" w:rsidRDefault="002E0FDA" w:rsidP="002E0FDA">
            <w:pPr>
              <w:spacing w:after="0" w:line="240" w:lineRule="auto"/>
              <w:rPr>
                <w:rFonts w:ascii="Arial" w:hAnsi="Arial" w:cs="Arial"/>
                <w:sz w:val="22"/>
                <w:szCs w:val="22"/>
              </w:rPr>
            </w:pPr>
            <w:r w:rsidRPr="002E0FDA">
              <w:rPr>
                <w:rFonts w:ascii="Arial" w:hAnsi="Arial" w:cs="Arial"/>
                <w:sz w:val="22"/>
                <w:szCs w:val="22"/>
              </w:rPr>
              <w:t>Source: Data extracted from the 2015-2045 Financials</w:t>
            </w:r>
          </w:p>
          <w:p w:rsidR="003A1A07" w:rsidRPr="002E0FDA" w:rsidRDefault="003A1A07" w:rsidP="002E0FDA">
            <w:pPr>
              <w:spacing w:after="0" w:line="240" w:lineRule="auto"/>
              <w:rPr>
                <w:rFonts w:ascii="Arial" w:hAnsi="Arial" w:cs="Arial"/>
                <w:sz w:val="22"/>
                <w:szCs w:val="22"/>
              </w:rPr>
            </w:pPr>
          </w:p>
          <w:p w:rsidR="002E0FDA" w:rsidRPr="002E0FDA" w:rsidRDefault="002E0FDA" w:rsidP="002E0FDA">
            <w:pPr>
              <w:spacing w:after="0" w:line="240" w:lineRule="auto"/>
              <w:rPr>
                <w:rFonts w:ascii="Arial" w:hAnsi="Arial" w:cs="Arial"/>
                <w:b/>
                <w:bCs/>
                <w:color w:val="000000"/>
                <w:sz w:val="22"/>
                <w:szCs w:val="22"/>
              </w:rPr>
            </w:pPr>
          </w:p>
        </w:tc>
        <w:tc>
          <w:tcPr>
            <w:tcW w:w="1011"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398"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197"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35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color w:val="000000"/>
                <w:sz w:val="22"/>
                <w:szCs w:val="22"/>
              </w:rPr>
            </w:pPr>
          </w:p>
        </w:tc>
        <w:tc>
          <w:tcPr>
            <w:tcW w:w="1743" w:type="pct"/>
            <w:gridSpan w:val="4"/>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center"/>
              <w:rPr>
                <w:rFonts w:ascii="Arial" w:hAnsi="Arial" w:cs="Arial"/>
                <w:b/>
                <w:bCs/>
                <w:color w:val="000000"/>
                <w:sz w:val="22"/>
                <w:szCs w:val="22"/>
              </w:rPr>
            </w:pPr>
            <w:r w:rsidRPr="002E0FDA">
              <w:rPr>
                <w:rFonts w:ascii="Arial" w:hAnsi="Arial" w:cs="Arial"/>
                <w:b/>
                <w:bCs/>
                <w:color w:val="000000"/>
                <w:sz w:val="22"/>
                <w:szCs w:val="22"/>
              </w:rPr>
              <w:t>Capital projects</w:t>
            </w:r>
          </w:p>
        </w:tc>
        <w:tc>
          <w:tcPr>
            <w:tcW w:w="1959" w:type="pct"/>
            <w:gridSpan w:val="7"/>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color w:val="000000"/>
                <w:sz w:val="22"/>
                <w:szCs w:val="22"/>
              </w:rPr>
            </w:pPr>
            <w:r w:rsidRPr="002E0FDA">
              <w:rPr>
                <w:rFonts w:ascii="Arial" w:hAnsi="Arial" w:cs="Arial"/>
                <w:b/>
                <w:bCs/>
                <w:color w:val="000000"/>
                <w:sz w:val="22"/>
                <w:szCs w:val="22"/>
              </w:rPr>
              <w:t xml:space="preserve">                    Operating projects</w:t>
            </w:r>
          </w:p>
        </w:tc>
      </w:tr>
      <w:tr w:rsidR="002E0FDA" w:rsidRPr="002E0FDA" w:rsidTr="000C25A1">
        <w:trPr>
          <w:trHeight w:val="300"/>
        </w:trPr>
        <w:tc>
          <w:tcPr>
            <w:tcW w:w="1231"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p>
        </w:tc>
        <w:tc>
          <w:tcPr>
            <w:tcW w:w="463"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Renewals</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Upgrades</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Growth</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Total</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Operating</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Stew/depn</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Income</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Total</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color w:val="000000"/>
                <w:sz w:val="22"/>
                <w:szCs w:val="22"/>
              </w:rPr>
            </w:pP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$m</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Transport</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270</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238</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37</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545</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295</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292</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(72)</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515</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Stormwater</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28</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28</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58</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120</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68</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 xml:space="preserve">0 </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188</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Water supply</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127</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71</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6</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204</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355</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140</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 xml:space="preserve">0 </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495</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Wastewater supply</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153</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6</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163</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358</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151</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(7)</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502</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i/>
                <w:iCs/>
                <w:color w:val="000000"/>
                <w:sz w:val="22"/>
                <w:szCs w:val="22"/>
              </w:rPr>
            </w:pPr>
            <w:r w:rsidRPr="002E0FDA">
              <w:rPr>
                <w:rFonts w:ascii="Arial" w:hAnsi="Arial" w:cs="Arial"/>
                <w:b/>
                <w:bCs/>
                <w:i/>
                <w:iCs/>
                <w:color w:val="000000"/>
                <w:sz w:val="22"/>
                <w:szCs w:val="22"/>
              </w:rPr>
              <w:t xml:space="preserve">    subtotal 3 waters</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308</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105</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12</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425</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833</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359</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(7)</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1,185</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i/>
                <w:iCs/>
                <w:color w:val="000000"/>
                <w:sz w:val="22"/>
                <w:szCs w:val="22"/>
              </w:rPr>
            </w:pPr>
            <w:r w:rsidRPr="002E0FDA">
              <w:rPr>
                <w:rFonts w:ascii="Arial" w:hAnsi="Arial" w:cs="Arial"/>
                <w:b/>
                <w:bCs/>
                <w:i/>
                <w:iCs/>
                <w:color w:val="000000"/>
                <w:sz w:val="22"/>
                <w:szCs w:val="22"/>
              </w:rPr>
              <w:t xml:space="preserve">   subtotal transpt &amp; 3ws</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578</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343</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49</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970</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1,128</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651</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(79)</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1,700</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Libraries &amp; community services</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30</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20</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50</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227</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58</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(15)</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270</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Parks &amp; open spaces</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41</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17</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62</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218</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44</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(6)</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256</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Recreation services</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32</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36</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323</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64</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(126)</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261</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Community health services</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15</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17</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45</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9</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(9)</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45</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City housing</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43</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107</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150</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153</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131</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(288)</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r w:rsidRPr="002E0FDA">
              <w:rPr>
                <w:rFonts w:ascii="Arial" w:hAnsi="Arial" w:cs="Arial"/>
                <w:color w:val="000000"/>
                <w:sz w:val="22"/>
                <w:szCs w:val="22"/>
              </w:rPr>
              <w:t>Property &amp; corporate</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266</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212</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color w:val="000000"/>
                <w:sz w:val="22"/>
                <w:szCs w:val="22"/>
              </w:rPr>
            </w:pP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478</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26</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50</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 xml:space="preserve">0.000 </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color w:val="000000"/>
                <w:sz w:val="22"/>
                <w:szCs w:val="22"/>
              </w:rPr>
            </w:pPr>
            <w:r w:rsidRPr="002E0FDA">
              <w:rPr>
                <w:rFonts w:ascii="Arial" w:hAnsi="Arial" w:cs="Arial"/>
                <w:color w:val="000000"/>
                <w:sz w:val="22"/>
                <w:szCs w:val="22"/>
              </w:rPr>
              <w:t>76</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i/>
                <w:iCs/>
                <w:color w:val="000000"/>
                <w:sz w:val="22"/>
                <w:szCs w:val="22"/>
              </w:rPr>
            </w:pPr>
            <w:r w:rsidRPr="002E0FDA">
              <w:rPr>
                <w:rFonts w:ascii="Arial" w:hAnsi="Arial" w:cs="Arial"/>
                <w:b/>
                <w:bCs/>
                <w:i/>
                <w:iCs/>
                <w:color w:val="000000"/>
                <w:sz w:val="22"/>
                <w:szCs w:val="22"/>
              </w:rPr>
              <w:t xml:space="preserve">   subtotal social infrastructure</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427</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362</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4</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793</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992</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356</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(444)</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i/>
                <w:iCs/>
                <w:color w:val="000000"/>
                <w:sz w:val="22"/>
                <w:szCs w:val="22"/>
              </w:rPr>
            </w:pPr>
            <w:r w:rsidRPr="002E0FDA">
              <w:rPr>
                <w:rFonts w:ascii="Arial" w:hAnsi="Arial" w:cs="Arial"/>
                <w:b/>
                <w:bCs/>
                <w:i/>
                <w:iCs/>
                <w:color w:val="000000"/>
                <w:sz w:val="22"/>
                <w:szCs w:val="22"/>
              </w:rPr>
              <w:t>904</w:t>
            </w:r>
          </w:p>
        </w:tc>
      </w:tr>
      <w:tr w:rsidR="002E0FDA" w:rsidRPr="002E0FDA" w:rsidTr="000C25A1">
        <w:trPr>
          <w:trHeight w:val="300"/>
        </w:trPr>
        <w:tc>
          <w:tcPr>
            <w:tcW w:w="129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rPr>
                <w:rFonts w:ascii="Arial" w:hAnsi="Arial" w:cs="Arial"/>
                <w:b/>
                <w:bCs/>
                <w:color w:val="000000"/>
                <w:sz w:val="22"/>
                <w:szCs w:val="22"/>
              </w:rPr>
            </w:pPr>
            <w:r w:rsidRPr="002E0FDA">
              <w:rPr>
                <w:rFonts w:ascii="Arial" w:hAnsi="Arial" w:cs="Arial"/>
                <w:b/>
                <w:bCs/>
                <w:color w:val="000000"/>
                <w:sz w:val="22"/>
                <w:szCs w:val="22"/>
              </w:rPr>
              <w:t>Total</w:t>
            </w:r>
          </w:p>
        </w:tc>
        <w:tc>
          <w:tcPr>
            <w:tcW w:w="395"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1,005</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705</w:t>
            </w:r>
          </w:p>
        </w:tc>
        <w:tc>
          <w:tcPr>
            <w:tcW w:w="463"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53</w:t>
            </w:r>
          </w:p>
        </w:tc>
        <w:tc>
          <w:tcPr>
            <w:tcW w:w="422"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1,763</w:t>
            </w:r>
          </w:p>
        </w:tc>
        <w:tc>
          <w:tcPr>
            <w:tcW w:w="604" w:type="pct"/>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2,120</w:t>
            </w:r>
          </w:p>
        </w:tc>
        <w:tc>
          <w:tcPr>
            <w:tcW w:w="490"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1,007</w:t>
            </w:r>
          </w:p>
        </w:tc>
        <w:tc>
          <w:tcPr>
            <w:tcW w:w="449"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(523)</w:t>
            </w:r>
          </w:p>
        </w:tc>
        <w:tc>
          <w:tcPr>
            <w:tcW w:w="416" w:type="pct"/>
            <w:gridSpan w:val="2"/>
            <w:tcBorders>
              <w:top w:val="nil"/>
              <w:left w:val="nil"/>
              <w:bottom w:val="nil"/>
              <w:right w:val="nil"/>
            </w:tcBorders>
            <w:shd w:val="clear" w:color="auto" w:fill="auto"/>
            <w:noWrap/>
            <w:vAlign w:val="bottom"/>
            <w:hideMark/>
          </w:tcPr>
          <w:p w:rsidR="002E0FDA" w:rsidRPr="002E0FDA" w:rsidRDefault="002E0FDA" w:rsidP="002E0FDA">
            <w:pPr>
              <w:spacing w:after="0" w:line="240" w:lineRule="auto"/>
              <w:jc w:val="right"/>
              <w:rPr>
                <w:rFonts w:ascii="Arial" w:hAnsi="Arial" w:cs="Arial"/>
                <w:b/>
                <w:bCs/>
                <w:color w:val="000000"/>
                <w:sz w:val="22"/>
                <w:szCs w:val="22"/>
              </w:rPr>
            </w:pPr>
            <w:r w:rsidRPr="002E0FDA">
              <w:rPr>
                <w:rFonts w:ascii="Arial" w:hAnsi="Arial" w:cs="Arial"/>
                <w:b/>
                <w:bCs/>
                <w:color w:val="000000"/>
                <w:sz w:val="22"/>
                <w:szCs w:val="22"/>
              </w:rPr>
              <w:t>2,604</w:t>
            </w:r>
          </w:p>
        </w:tc>
      </w:tr>
    </w:tbl>
    <w:p w:rsidR="002E0FDA" w:rsidRPr="002E0FDA" w:rsidRDefault="002E0FDA" w:rsidP="002E0FDA">
      <w:pPr>
        <w:spacing w:after="0" w:line="240" w:lineRule="auto"/>
        <w:rPr>
          <w:rFonts w:ascii="Arial" w:hAnsi="Arial" w:cs="Arial"/>
          <w:sz w:val="22"/>
          <w:szCs w:val="22"/>
        </w:rPr>
      </w:pPr>
    </w:p>
    <w:p w:rsidR="002E0FDA" w:rsidRDefault="002E0FDA" w:rsidP="002E0FDA">
      <w:r>
        <w:br w:type="page"/>
      </w:r>
    </w:p>
    <w:p w:rsidR="002E0FDA" w:rsidRPr="001D69E4" w:rsidRDefault="002E0FDA" w:rsidP="002E0FDA">
      <w:pPr>
        <w:pStyle w:val="NoSpacing"/>
        <w:jc w:val="right"/>
        <w:rPr>
          <w:b/>
        </w:rPr>
      </w:pPr>
      <w:r>
        <w:rPr>
          <w:b/>
        </w:rPr>
        <w:lastRenderedPageBreak/>
        <w:t>Appendix 2</w:t>
      </w:r>
    </w:p>
    <w:p w:rsidR="002E0FDA" w:rsidRDefault="002E0FDA" w:rsidP="002E0FDA">
      <w:pPr>
        <w:pStyle w:val="NoSpacing"/>
        <w:rPr>
          <w:rFonts w:cs="Arial"/>
        </w:rPr>
      </w:pPr>
    </w:p>
    <w:p w:rsidR="002E0FDA" w:rsidRPr="000358DC" w:rsidRDefault="002E0FDA" w:rsidP="002E0FDA">
      <w:pPr>
        <w:pStyle w:val="NoSpacing"/>
        <w:rPr>
          <w:rFonts w:cs="Arial"/>
        </w:rPr>
      </w:pPr>
      <w:r w:rsidRPr="000358DC">
        <w:rPr>
          <w:rFonts w:cs="Arial"/>
        </w:rPr>
        <w:t>WHY A HERITAGE AUDIT IN MOUNT VICTORIA?</w:t>
      </w:r>
    </w:p>
    <w:p w:rsidR="002E0FDA" w:rsidRPr="000358DC" w:rsidRDefault="002E0FDA" w:rsidP="002E0FDA">
      <w:pPr>
        <w:pStyle w:val="NoSpacing"/>
        <w:rPr>
          <w:rFonts w:cs="Arial"/>
        </w:rPr>
      </w:pPr>
      <w:r w:rsidRPr="000358DC">
        <w:rPr>
          <w:rFonts w:cs="Arial"/>
        </w:rPr>
        <w:t>ADVANTAGES TO THE CITY</w:t>
      </w:r>
    </w:p>
    <w:p w:rsidR="002E0FDA" w:rsidRPr="000358DC" w:rsidRDefault="002E0FDA" w:rsidP="002E0FDA">
      <w:pPr>
        <w:pStyle w:val="NoSpacing"/>
      </w:pPr>
    </w:p>
    <w:p w:rsidR="002E0FDA" w:rsidRPr="000358DC" w:rsidRDefault="002E0FDA" w:rsidP="002E0FDA">
      <w:pPr>
        <w:pStyle w:val="NoSpacing"/>
        <w:rPr>
          <w:rFonts w:cs="Arial"/>
        </w:rPr>
      </w:pPr>
      <w:r w:rsidRPr="000358DC">
        <w:rPr>
          <w:rFonts w:cs="Arial"/>
        </w:rPr>
        <w:t>Overlooking the eastern shore of Lambton Harbour, Mount Victoria is the most visible of Wellington’s inner-city residential neighbourhoods as seen from the central city.</w:t>
      </w:r>
      <w:r w:rsidRPr="000358DC">
        <w:rPr>
          <w:rFonts w:cs="Arial"/>
        </w:rPr>
        <w:br/>
      </w:r>
    </w:p>
    <w:p w:rsidR="002E0FDA" w:rsidRPr="000358DC" w:rsidRDefault="002E0FDA" w:rsidP="002E0FDA">
      <w:pPr>
        <w:pStyle w:val="NoSpacing"/>
        <w:rPr>
          <w:rFonts w:cs="Arial"/>
        </w:rPr>
      </w:pPr>
      <w:r w:rsidRPr="000358DC">
        <w:rPr>
          <w:rFonts w:cs="Arial"/>
        </w:rPr>
        <w:t>Nineteenth-century Victorian two-storey villas and single-storey cottages, made entirely of irreplaceable indigenous timbers, are a unique and defining feature in the international context.</w:t>
      </w:r>
      <w:r w:rsidRPr="000358DC">
        <w:rPr>
          <w:rFonts w:cs="Arial"/>
        </w:rPr>
        <w:br/>
      </w:r>
    </w:p>
    <w:p w:rsidR="002E0FDA" w:rsidRPr="000358DC" w:rsidRDefault="002E0FDA" w:rsidP="002E0FDA">
      <w:pPr>
        <w:pStyle w:val="NoSpacing"/>
        <w:rPr>
          <w:rFonts w:cs="Arial"/>
        </w:rPr>
      </w:pPr>
      <w:r w:rsidRPr="000358DC">
        <w:rPr>
          <w:rFonts w:cs="Arial"/>
        </w:rPr>
        <w:t>Currently there is a risk that incremental individual changes will result in the city unwittingly and irreversibly losing one of its most appealing and distinctive features.</w:t>
      </w:r>
      <w:r w:rsidRPr="000358DC">
        <w:rPr>
          <w:rFonts w:cs="Arial"/>
        </w:rPr>
        <w:br/>
      </w:r>
    </w:p>
    <w:p w:rsidR="002E0FDA" w:rsidRPr="000358DC" w:rsidRDefault="002E0FDA" w:rsidP="002E0FDA">
      <w:pPr>
        <w:pStyle w:val="NoSpacing"/>
        <w:rPr>
          <w:rFonts w:cs="Arial"/>
        </w:rPr>
      </w:pPr>
      <w:r w:rsidRPr="000358DC">
        <w:rPr>
          <w:rFonts w:cs="Arial"/>
        </w:rPr>
        <w:t>It is critical that the City now take stock of the heritage houses and buildings in such a prominent neighbourhood.  This will provide a baseline record, ensuring that changes are consciously chosen avoiding haphazard, short</w:t>
      </w:r>
      <w:r>
        <w:rPr>
          <w:rFonts w:cs="Arial"/>
        </w:rPr>
        <w:t>-</w:t>
      </w:r>
      <w:r w:rsidRPr="000358DC">
        <w:rPr>
          <w:rFonts w:cs="Arial"/>
        </w:rPr>
        <w:t>sighted detrimental change.</w:t>
      </w:r>
      <w:r w:rsidRPr="000358DC">
        <w:rPr>
          <w:rFonts w:cs="Arial"/>
        </w:rPr>
        <w:br/>
      </w:r>
    </w:p>
    <w:p w:rsidR="002E0FDA" w:rsidRPr="000358DC" w:rsidRDefault="002E0FDA" w:rsidP="002E0FDA">
      <w:pPr>
        <w:pStyle w:val="NoSpacing"/>
        <w:rPr>
          <w:rFonts w:cs="Arial"/>
        </w:rPr>
      </w:pPr>
      <w:r w:rsidRPr="000358DC">
        <w:rPr>
          <w:rFonts w:cs="Arial"/>
        </w:rPr>
        <w:t xml:space="preserve">On the international scene, heritage or character neighbourhoods so near to a city centre are increasingly being valued as economic and social assets for cities at large and for the surrounding regions.  </w:t>
      </w:r>
      <w:r w:rsidRPr="000358DC">
        <w:rPr>
          <w:rFonts w:cs="Arial"/>
        </w:rPr>
        <w:br/>
      </w:r>
    </w:p>
    <w:p w:rsidR="002E0FDA" w:rsidRPr="000358DC" w:rsidRDefault="002E0FDA" w:rsidP="002E0FDA">
      <w:pPr>
        <w:pStyle w:val="NoSpacing"/>
        <w:rPr>
          <w:rFonts w:cs="Arial"/>
        </w:rPr>
      </w:pPr>
      <w:r w:rsidRPr="000358DC">
        <w:rPr>
          <w:rFonts w:cs="Arial"/>
        </w:rPr>
        <w:t>Congenial living conditions with backyard gardens and safe playing spaces for children will increasingly be a drawcard for new enterprises and new skills.  In the world of academia, talented academics and researchers are increasingly averse to seeking posts involving long commuting times.  Walkability, compactness and safety are powerful attractions worldwide.  Retailers benefit when the walk-by traffic is high.  In times of economic downturn, heritage residential areas lose value less, more slowly.  Conversely, they gain value more quickly in good times.  This helps in protecting a city’s rating base.  (Quote from Donovan Rypkema, a Washington-based consultant who recently again visited Wellington).</w:t>
      </w:r>
      <w:r w:rsidRPr="000358DC">
        <w:rPr>
          <w:rFonts w:cs="Arial"/>
        </w:rPr>
        <w:br/>
      </w:r>
    </w:p>
    <w:p w:rsidR="002E0FDA" w:rsidRPr="000358DC" w:rsidRDefault="002E0FDA" w:rsidP="002E0FDA">
      <w:pPr>
        <w:pStyle w:val="NoSpacing"/>
        <w:rPr>
          <w:rFonts w:cs="Arial"/>
        </w:rPr>
      </w:pPr>
      <w:r w:rsidRPr="000358DC">
        <w:rPr>
          <w:rFonts w:cs="Arial"/>
        </w:rPr>
        <w:t xml:space="preserve">Such neighbourhoods are also more often net contributors to local government finances.  The homes have high rateable value, and generally the residents are less dependent on public transport and do not require new infrastructure over long distances.  </w:t>
      </w:r>
      <w:r w:rsidRPr="000358DC">
        <w:rPr>
          <w:rFonts w:cs="Arial"/>
        </w:rPr>
        <w:br/>
      </w:r>
    </w:p>
    <w:p w:rsidR="002E0FDA" w:rsidRPr="000358DC" w:rsidRDefault="002E0FDA" w:rsidP="002E0FDA">
      <w:pPr>
        <w:pStyle w:val="NoSpacing"/>
        <w:rPr>
          <w:rFonts w:cs="Arial"/>
        </w:rPr>
      </w:pPr>
      <w:r w:rsidRPr="000358DC">
        <w:rPr>
          <w:rFonts w:cs="Arial"/>
        </w:rPr>
        <w:t>Those cities that value their heritage neighbourhoods and ensure that their economic and cultural importance is recognised gain by deriving net tax revenues which can be applied to other parts of the city.</w:t>
      </w:r>
      <w:r w:rsidRPr="000358DC">
        <w:rPr>
          <w:rFonts w:cs="Arial"/>
        </w:rPr>
        <w:br/>
      </w:r>
    </w:p>
    <w:p w:rsidR="002E0FDA" w:rsidRPr="000358DC" w:rsidRDefault="002E0FDA" w:rsidP="002E0FDA">
      <w:pPr>
        <w:pStyle w:val="NoSpacing"/>
        <w:rPr>
          <w:rFonts w:cs="Arial"/>
        </w:rPr>
      </w:pPr>
      <w:r w:rsidRPr="000358DC">
        <w:rPr>
          <w:rFonts w:cs="Arial"/>
        </w:rPr>
        <w:t>Retention of these valuable areas gives physical links back to the collective memory of the city’s past.  They provide the landmarks for the myriad stories, anecdotes and colourful characters.  A sense of continuity and belonging is thereby imparted to succeeding generations as well as to newcomers and visitors.</w:t>
      </w:r>
      <w:r w:rsidRPr="000358DC">
        <w:rPr>
          <w:rFonts w:cs="Arial"/>
        </w:rPr>
        <w:br/>
      </w:r>
    </w:p>
    <w:p w:rsidR="002E0FDA" w:rsidRPr="000358DC" w:rsidRDefault="002E0FDA" w:rsidP="002E0FDA">
      <w:pPr>
        <w:pStyle w:val="NoSpacing"/>
        <w:rPr>
          <w:rFonts w:cs="Arial"/>
        </w:rPr>
      </w:pPr>
      <w:r w:rsidRPr="000358DC">
        <w:rPr>
          <w:rFonts w:cs="Arial"/>
        </w:rPr>
        <w:t>CONCLUSION</w:t>
      </w:r>
    </w:p>
    <w:p w:rsidR="002E0FDA" w:rsidRPr="000358DC" w:rsidRDefault="002E0FDA" w:rsidP="002E0FDA">
      <w:pPr>
        <w:pStyle w:val="NoSpacing"/>
        <w:rPr>
          <w:rFonts w:cs="Arial"/>
        </w:rPr>
      </w:pPr>
      <w:r w:rsidRPr="000358DC">
        <w:rPr>
          <w:rFonts w:cs="Arial"/>
        </w:rPr>
        <w:t xml:space="preserve">This is an opportune time for the Capital City to take measures that will underpin the economic and cultural value of one of its highly visible heritage neighbourhoods.  The city’s economy is in transition and new directions are being sought.  Heritage areas providing walkability, compactness and safety need to be accorded due recognition for the important role they can play in attracting new ventures and talented newcomers.  </w:t>
      </w:r>
      <w:r w:rsidRPr="000358DC">
        <w:rPr>
          <w:rFonts w:cs="Arial"/>
        </w:rPr>
        <w:br/>
      </w:r>
    </w:p>
    <w:p w:rsidR="002E0FDA" w:rsidRPr="002E0FDA" w:rsidRDefault="002E0FDA" w:rsidP="002E0FDA">
      <w:pPr>
        <w:spacing w:after="0" w:line="240" w:lineRule="auto"/>
        <w:rPr>
          <w:rFonts w:ascii="Arial" w:hAnsi="Arial" w:cs="Arial"/>
          <w:sz w:val="22"/>
          <w:szCs w:val="22"/>
        </w:rPr>
      </w:pPr>
      <w:r w:rsidRPr="002E0FDA">
        <w:rPr>
          <w:rFonts w:ascii="Arial" w:hAnsi="Arial" w:cs="Arial"/>
          <w:sz w:val="22"/>
          <w:szCs w:val="22"/>
        </w:rPr>
        <w:t>Significant resources already exist, including the extensive research and expertise of the Mt Victoria Historical Society and in the Wellington City Archives, and would reduce the costs to the Council.</w:t>
      </w:r>
    </w:p>
    <w:sectPr w:rsidR="002E0FDA" w:rsidRPr="002E0FDA" w:rsidSect="00AB26B2">
      <w:headerReference w:type="default" r:id="rId7"/>
      <w:footerReference w:type="default" r:id="rId8"/>
      <w:footnotePr>
        <w:pos w:val="beneathText"/>
      </w:footnotePr>
      <w:pgSz w:w="11899" w:h="16837" w:code="9"/>
      <w:pgMar w:top="1191" w:right="1021" w:bottom="1021" w:left="1021" w:header="567" w:footer="17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3B45" w:rsidRDefault="00723B45">
      <w:pPr>
        <w:spacing w:after="0" w:line="240" w:lineRule="auto"/>
      </w:pPr>
      <w:r>
        <w:separator/>
      </w:r>
    </w:p>
  </w:endnote>
  <w:endnote w:type="continuationSeparator" w:id="1">
    <w:p w:rsidR="00723B45" w:rsidRDefault="00723B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Neue">
    <w:altName w:val="Corbe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Neue Bold Condensed">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enturyGothic">
    <w:altName w:val="Century Gothic"/>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BAF" w:rsidRPr="004B41BB" w:rsidRDefault="0010665B">
    <w:pPr>
      <w:pStyle w:val="Footer"/>
      <w:jc w:val="right"/>
      <w:rPr>
        <w:rFonts w:ascii="Arial" w:hAnsi="Arial" w:cs="Arial"/>
      </w:rPr>
    </w:pPr>
    <w:r w:rsidRPr="004B41BB">
      <w:rPr>
        <w:rFonts w:ascii="Arial" w:hAnsi="Arial" w:cs="Arial"/>
      </w:rPr>
      <w:fldChar w:fldCharType="begin"/>
    </w:r>
    <w:r w:rsidR="00033BAF" w:rsidRPr="004B41BB">
      <w:rPr>
        <w:rFonts w:ascii="Arial" w:hAnsi="Arial" w:cs="Arial"/>
      </w:rPr>
      <w:instrText xml:space="preserve"> PAGE   \* MERGEFORMAT </w:instrText>
    </w:r>
    <w:r w:rsidRPr="004B41BB">
      <w:rPr>
        <w:rFonts w:ascii="Arial" w:hAnsi="Arial" w:cs="Arial"/>
      </w:rPr>
      <w:fldChar w:fldCharType="separate"/>
    </w:r>
    <w:r w:rsidR="00252B41">
      <w:rPr>
        <w:rFonts w:ascii="Arial" w:hAnsi="Arial" w:cs="Arial"/>
        <w:noProof/>
      </w:rPr>
      <w:t>9</w:t>
    </w:r>
    <w:r w:rsidRPr="004B41BB">
      <w:rPr>
        <w:rFonts w:ascii="Arial" w:hAnsi="Arial" w:cs="Arial"/>
      </w:rPr>
      <w:fldChar w:fldCharType="end"/>
    </w:r>
  </w:p>
  <w:p w:rsidR="00033BAF" w:rsidRDefault="00033BA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3B45" w:rsidRDefault="00723B45">
      <w:pPr>
        <w:spacing w:after="0" w:line="240" w:lineRule="auto"/>
      </w:pPr>
      <w:r>
        <w:separator/>
      </w:r>
    </w:p>
  </w:footnote>
  <w:footnote w:type="continuationSeparator" w:id="1">
    <w:p w:rsidR="00723B45" w:rsidRDefault="00723B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BAF" w:rsidRDefault="00AC03EA">
    <w:pPr>
      <w:pStyle w:val="Header"/>
    </w:pPr>
    <w:r>
      <w:rPr>
        <w:noProof/>
        <w:lang w:val="en-US" w:eastAsia="en-US"/>
      </w:rPr>
      <w:drawing>
        <wp:inline distT="0" distB="0" distL="0" distR="0">
          <wp:extent cx="5677535" cy="10731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677535" cy="1073150"/>
                  </a:xfrm>
                  <a:prstGeom prst="rect">
                    <a:avLst/>
                  </a:prstGeom>
                  <a:solidFill>
                    <a:srgbClr val="FFFFFF"/>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107C23DB"/>
    <w:multiLevelType w:val="hybridMultilevel"/>
    <w:tmpl w:val="6B5E84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4B21453"/>
    <w:multiLevelType w:val="hybridMultilevel"/>
    <w:tmpl w:val="CD18B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52C6DA8"/>
    <w:multiLevelType w:val="hybridMultilevel"/>
    <w:tmpl w:val="21B2FD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33F2BC5"/>
    <w:multiLevelType w:val="hybridMultilevel"/>
    <w:tmpl w:val="A1748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8EB4691"/>
    <w:multiLevelType w:val="hybridMultilevel"/>
    <w:tmpl w:val="D090E442"/>
    <w:lvl w:ilvl="0" w:tplc="E47AA6E4">
      <w:start w:val="1"/>
      <w:numFmt w:val="decimal"/>
      <w:lvlText w:val="%1."/>
      <w:lvlJc w:val="left"/>
      <w:pPr>
        <w:ind w:left="360" w:hanging="360"/>
      </w:pPr>
      <w:rPr>
        <w:rFonts w:ascii="Arial" w:hAnsi="Arial" w:hint="default"/>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4175ED8"/>
    <w:multiLevelType w:val="hybridMultilevel"/>
    <w:tmpl w:val="B40A83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67E680A"/>
    <w:multiLevelType w:val="hybridMultilevel"/>
    <w:tmpl w:val="4B3EF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F144344"/>
    <w:multiLevelType w:val="hybridMultilevel"/>
    <w:tmpl w:val="7AD24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6"/>
  </w:num>
  <w:num w:numId="3">
    <w:abstractNumId w:val="4"/>
  </w:num>
  <w:num w:numId="4">
    <w:abstractNumId w:val="3"/>
  </w:num>
  <w:num w:numId="5">
    <w:abstractNumId w:val="7"/>
  </w:num>
  <w:num w:numId="6">
    <w:abstractNumId w:val="8"/>
  </w:num>
  <w:num w:numId="7">
    <w:abstractNumId w:val="1"/>
  </w:num>
  <w:num w:numId="8">
    <w:abstractNumId w:val="2"/>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00"/>
  <w:drawingGridVerticalSpacing w:val="0"/>
  <w:displayHorizontalDrawingGridEvery w:val="0"/>
  <w:displayVerticalDrawingGridEvery w:val="0"/>
  <w:noPunctuationKerning/>
  <w:characterSpacingControl w:val="doNotCompress"/>
  <w:hdrShapeDefaults>
    <o:shapedefaults v:ext="edit" spidmax="3074"/>
  </w:hdrShapeDefault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654B12"/>
    <w:rsid w:val="000252A3"/>
    <w:rsid w:val="00027FBE"/>
    <w:rsid w:val="00033BAF"/>
    <w:rsid w:val="000A0D03"/>
    <w:rsid w:val="000B7604"/>
    <w:rsid w:val="000E0747"/>
    <w:rsid w:val="0010665B"/>
    <w:rsid w:val="0011625F"/>
    <w:rsid w:val="001776F2"/>
    <w:rsid w:val="001A4E2F"/>
    <w:rsid w:val="001F3605"/>
    <w:rsid w:val="00227BA2"/>
    <w:rsid w:val="00252B41"/>
    <w:rsid w:val="00271978"/>
    <w:rsid w:val="00275AE3"/>
    <w:rsid w:val="00295FE7"/>
    <w:rsid w:val="002D2FC0"/>
    <w:rsid w:val="002E0FDA"/>
    <w:rsid w:val="00305701"/>
    <w:rsid w:val="003461FF"/>
    <w:rsid w:val="00362B8C"/>
    <w:rsid w:val="0036585E"/>
    <w:rsid w:val="00376548"/>
    <w:rsid w:val="00395379"/>
    <w:rsid w:val="003A1A07"/>
    <w:rsid w:val="00443FC0"/>
    <w:rsid w:val="004821F2"/>
    <w:rsid w:val="004B41BB"/>
    <w:rsid w:val="004E55E3"/>
    <w:rsid w:val="00510BF6"/>
    <w:rsid w:val="0053056E"/>
    <w:rsid w:val="006251B6"/>
    <w:rsid w:val="00654B12"/>
    <w:rsid w:val="0066015E"/>
    <w:rsid w:val="006A0BFF"/>
    <w:rsid w:val="006F5A9C"/>
    <w:rsid w:val="00723B45"/>
    <w:rsid w:val="00725F58"/>
    <w:rsid w:val="007D5875"/>
    <w:rsid w:val="007E0327"/>
    <w:rsid w:val="00836C26"/>
    <w:rsid w:val="008C623E"/>
    <w:rsid w:val="008E2BAD"/>
    <w:rsid w:val="00933C0E"/>
    <w:rsid w:val="009535E2"/>
    <w:rsid w:val="00981E94"/>
    <w:rsid w:val="00A86E46"/>
    <w:rsid w:val="00AA1CB1"/>
    <w:rsid w:val="00AB26B2"/>
    <w:rsid w:val="00AC03EA"/>
    <w:rsid w:val="00B161EB"/>
    <w:rsid w:val="00B53B30"/>
    <w:rsid w:val="00B80E1A"/>
    <w:rsid w:val="00BB4995"/>
    <w:rsid w:val="00BC2C9B"/>
    <w:rsid w:val="00BE21CB"/>
    <w:rsid w:val="00BE4001"/>
    <w:rsid w:val="00BE41C6"/>
    <w:rsid w:val="00C83CB2"/>
    <w:rsid w:val="00C93F8E"/>
    <w:rsid w:val="00CA2E71"/>
    <w:rsid w:val="00D809C6"/>
    <w:rsid w:val="00D87C56"/>
    <w:rsid w:val="00E33AE8"/>
    <w:rsid w:val="00E36B4C"/>
    <w:rsid w:val="00E54EA2"/>
    <w:rsid w:val="00E86B95"/>
    <w:rsid w:val="00ED08A7"/>
    <w:rsid w:val="00ED1B64"/>
    <w:rsid w:val="00F22605"/>
    <w:rsid w:val="00F371E6"/>
    <w:rsid w:val="00F4302F"/>
    <w:rsid w:val="00F52768"/>
    <w:rsid w:val="00F87D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65B"/>
    <w:pPr>
      <w:widowControl w:val="0"/>
      <w:suppressAutoHyphens/>
      <w:spacing w:after="200" w:line="360" w:lineRule="auto"/>
    </w:pPr>
    <w:rPr>
      <w:rFonts w:ascii="Helvetica Neue" w:hAnsi="Helvetica Neue" w:cs="Cambria"/>
      <w:lang w:val="en-AU" w:eastAsia="ar-SA"/>
    </w:rPr>
  </w:style>
  <w:style w:type="paragraph" w:styleId="Heading3">
    <w:name w:val="heading 3"/>
    <w:basedOn w:val="Normal"/>
    <w:next w:val="Normal"/>
    <w:link w:val="Heading3Char"/>
    <w:uiPriority w:val="9"/>
    <w:qFormat/>
    <w:rsid w:val="0010665B"/>
    <w:pPr>
      <w:keepNext/>
      <w:tabs>
        <w:tab w:val="num" w:pos="0"/>
      </w:tabs>
      <w:spacing w:before="240" w:after="60"/>
      <w:outlineLvl w:val="2"/>
    </w:pPr>
    <w:rPr>
      <w:rFonts w:ascii="Helvetica Neue Bold Condensed" w:hAnsi="Helvetica Neue Bold Condense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86235"/>
    <w:rPr>
      <w:rFonts w:ascii="Helvetica Neue Bold Condensed" w:hAnsi="Helvetica Neue Bold Condensed" w:cs="Cambria"/>
      <w:sz w:val="22"/>
      <w:lang w:val="en-AU" w:eastAsia="ar-SA"/>
    </w:rPr>
  </w:style>
  <w:style w:type="character" w:customStyle="1" w:styleId="WW8Num1z0">
    <w:name w:val="WW8Num1z0"/>
    <w:rsid w:val="0010665B"/>
    <w:rPr>
      <w:rFonts w:ascii="Symbol" w:hAnsi="Symbol"/>
    </w:rPr>
  </w:style>
  <w:style w:type="character" w:customStyle="1" w:styleId="Absatz-Standardschriftart">
    <w:name w:val="Absatz-Standardschriftart"/>
    <w:rsid w:val="0010665B"/>
  </w:style>
  <w:style w:type="character" w:customStyle="1" w:styleId="WW8Num1z1">
    <w:name w:val="WW8Num1z1"/>
    <w:rsid w:val="0010665B"/>
    <w:rPr>
      <w:rFonts w:ascii="Courier New" w:hAnsi="Courier New"/>
    </w:rPr>
  </w:style>
  <w:style w:type="character" w:customStyle="1" w:styleId="WW8Num1z2">
    <w:name w:val="WW8Num1z2"/>
    <w:rsid w:val="0010665B"/>
    <w:rPr>
      <w:rFonts w:ascii="Wingdings" w:hAnsi="Wingdings"/>
    </w:rPr>
  </w:style>
  <w:style w:type="character" w:customStyle="1" w:styleId="WW8Num2z0">
    <w:name w:val="WW8Num2z0"/>
    <w:rsid w:val="0010665B"/>
    <w:rPr>
      <w:rFonts w:ascii="Symbol" w:hAnsi="Symbol"/>
    </w:rPr>
  </w:style>
  <w:style w:type="character" w:customStyle="1" w:styleId="WW8Num2z1">
    <w:name w:val="WW8Num2z1"/>
    <w:rsid w:val="0010665B"/>
    <w:rPr>
      <w:rFonts w:ascii="Courier New" w:hAnsi="Courier New"/>
    </w:rPr>
  </w:style>
  <w:style w:type="character" w:customStyle="1" w:styleId="WW8Num2z2">
    <w:name w:val="WW8Num2z2"/>
    <w:rsid w:val="0010665B"/>
    <w:rPr>
      <w:rFonts w:ascii="Wingdings" w:hAnsi="Wingdings"/>
    </w:rPr>
  </w:style>
  <w:style w:type="character" w:customStyle="1" w:styleId="HeaderChar">
    <w:name w:val="Header Char"/>
    <w:rsid w:val="0010665B"/>
    <w:rPr>
      <w:rFonts w:ascii="Helvetica Neue" w:hAnsi="Helvetica Neue"/>
    </w:rPr>
  </w:style>
  <w:style w:type="character" w:customStyle="1" w:styleId="FooterChar">
    <w:name w:val="Footer Char"/>
    <w:uiPriority w:val="99"/>
    <w:rsid w:val="0010665B"/>
    <w:rPr>
      <w:rFonts w:ascii="Helvetica Neue" w:hAnsi="Helvetica Neue"/>
    </w:rPr>
  </w:style>
  <w:style w:type="character" w:styleId="Hyperlink">
    <w:name w:val="Hyperlink"/>
    <w:basedOn w:val="DefaultParagraphFont"/>
    <w:uiPriority w:val="99"/>
    <w:semiHidden/>
    <w:rsid w:val="0010665B"/>
    <w:rPr>
      <w:color w:val="000080"/>
      <w:u w:val="single"/>
    </w:rPr>
  </w:style>
  <w:style w:type="paragraph" w:customStyle="1" w:styleId="Heading">
    <w:name w:val="Heading"/>
    <w:basedOn w:val="Normal"/>
    <w:next w:val="BodyText"/>
    <w:rsid w:val="0010665B"/>
    <w:pPr>
      <w:keepNext/>
      <w:spacing w:before="240" w:after="120"/>
    </w:pPr>
    <w:rPr>
      <w:rFonts w:ascii="Arial" w:hAnsi="Arial" w:cs="Tahoma"/>
      <w:sz w:val="28"/>
      <w:szCs w:val="28"/>
    </w:rPr>
  </w:style>
  <w:style w:type="paragraph" w:styleId="BodyText">
    <w:name w:val="Body Text"/>
    <w:basedOn w:val="Normal"/>
    <w:link w:val="BodyTextChar"/>
    <w:uiPriority w:val="99"/>
    <w:semiHidden/>
    <w:rsid w:val="0010665B"/>
    <w:pPr>
      <w:spacing w:after="120"/>
    </w:pPr>
  </w:style>
  <w:style w:type="character" w:customStyle="1" w:styleId="BodyTextChar">
    <w:name w:val="Body Text Char"/>
    <w:basedOn w:val="DefaultParagraphFont"/>
    <w:link w:val="BodyText"/>
    <w:uiPriority w:val="99"/>
    <w:semiHidden/>
    <w:rsid w:val="00686235"/>
    <w:rPr>
      <w:rFonts w:ascii="Helvetica Neue" w:hAnsi="Helvetica Neue" w:cs="Cambria"/>
      <w:lang w:val="en-AU" w:eastAsia="ar-SA"/>
    </w:rPr>
  </w:style>
  <w:style w:type="paragraph" w:styleId="List">
    <w:name w:val="List"/>
    <w:basedOn w:val="BodyText"/>
    <w:uiPriority w:val="99"/>
    <w:semiHidden/>
    <w:rsid w:val="0010665B"/>
    <w:rPr>
      <w:rFonts w:cs="Tahoma"/>
    </w:rPr>
  </w:style>
  <w:style w:type="paragraph" w:styleId="Caption">
    <w:name w:val="caption"/>
    <w:basedOn w:val="Normal"/>
    <w:uiPriority w:val="35"/>
    <w:qFormat/>
    <w:rsid w:val="0010665B"/>
    <w:pPr>
      <w:suppressLineNumbers/>
      <w:spacing w:before="120" w:after="120"/>
    </w:pPr>
    <w:rPr>
      <w:rFonts w:cs="Tahoma"/>
      <w:i/>
      <w:iCs/>
      <w:sz w:val="24"/>
      <w:szCs w:val="24"/>
    </w:rPr>
  </w:style>
  <w:style w:type="paragraph" w:customStyle="1" w:styleId="Index">
    <w:name w:val="Index"/>
    <w:basedOn w:val="Normal"/>
    <w:rsid w:val="0010665B"/>
    <w:pPr>
      <w:suppressLineNumbers/>
    </w:pPr>
    <w:rPr>
      <w:rFonts w:cs="Tahoma"/>
    </w:rPr>
  </w:style>
  <w:style w:type="paragraph" w:styleId="Header">
    <w:name w:val="header"/>
    <w:basedOn w:val="Normal"/>
    <w:link w:val="HeaderChar1"/>
    <w:uiPriority w:val="99"/>
    <w:semiHidden/>
    <w:rsid w:val="0010665B"/>
    <w:pPr>
      <w:tabs>
        <w:tab w:val="center" w:pos="4320"/>
        <w:tab w:val="right" w:pos="8640"/>
      </w:tabs>
      <w:spacing w:after="0" w:line="240" w:lineRule="auto"/>
    </w:pPr>
  </w:style>
  <w:style w:type="character" w:customStyle="1" w:styleId="HeaderChar1">
    <w:name w:val="Header Char1"/>
    <w:basedOn w:val="DefaultParagraphFont"/>
    <w:link w:val="Header"/>
    <w:uiPriority w:val="99"/>
    <w:semiHidden/>
    <w:rsid w:val="00686235"/>
    <w:rPr>
      <w:rFonts w:ascii="Helvetica Neue" w:hAnsi="Helvetica Neue" w:cs="Cambria"/>
      <w:lang w:val="en-AU" w:eastAsia="ar-SA"/>
    </w:rPr>
  </w:style>
  <w:style w:type="paragraph" w:styleId="Footer">
    <w:name w:val="footer"/>
    <w:basedOn w:val="Normal"/>
    <w:link w:val="FooterChar1"/>
    <w:uiPriority w:val="99"/>
    <w:rsid w:val="0010665B"/>
    <w:pPr>
      <w:tabs>
        <w:tab w:val="center" w:pos="4320"/>
        <w:tab w:val="right" w:pos="8640"/>
      </w:tabs>
      <w:spacing w:after="0" w:line="240" w:lineRule="auto"/>
    </w:pPr>
  </w:style>
  <w:style w:type="character" w:customStyle="1" w:styleId="FooterChar1">
    <w:name w:val="Footer Char1"/>
    <w:basedOn w:val="DefaultParagraphFont"/>
    <w:link w:val="Footer"/>
    <w:uiPriority w:val="99"/>
    <w:semiHidden/>
    <w:rsid w:val="00686235"/>
    <w:rPr>
      <w:rFonts w:ascii="Helvetica Neue" w:hAnsi="Helvetica Neue" w:cs="Cambria"/>
      <w:lang w:val="en-AU" w:eastAsia="ar-SA"/>
    </w:rPr>
  </w:style>
  <w:style w:type="paragraph" w:styleId="ListParagraph">
    <w:name w:val="List Paragraph"/>
    <w:basedOn w:val="Normal"/>
    <w:uiPriority w:val="34"/>
    <w:qFormat/>
    <w:rsid w:val="00C83CB2"/>
    <w:pPr>
      <w:ind w:left="720"/>
      <w:contextualSpacing/>
    </w:pPr>
  </w:style>
  <w:style w:type="paragraph" w:styleId="BalloonText">
    <w:name w:val="Balloon Text"/>
    <w:basedOn w:val="Normal"/>
    <w:link w:val="BalloonTextChar"/>
    <w:uiPriority w:val="99"/>
    <w:semiHidden/>
    <w:unhideWhenUsed/>
    <w:rsid w:val="00F226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2605"/>
    <w:rPr>
      <w:rFonts w:ascii="Tahoma" w:hAnsi="Tahoma" w:cs="Tahoma"/>
      <w:sz w:val="16"/>
      <w:szCs w:val="16"/>
      <w:lang w:val="en-AU" w:eastAsia="ar-SA"/>
    </w:rPr>
  </w:style>
  <w:style w:type="paragraph" w:customStyle="1" w:styleId="Default">
    <w:name w:val="Default"/>
    <w:rsid w:val="002E0FDA"/>
    <w:pPr>
      <w:autoSpaceDE w:val="0"/>
      <w:autoSpaceDN w:val="0"/>
      <w:adjustRightInd w:val="0"/>
    </w:pPr>
    <w:rPr>
      <w:rFonts w:ascii="Guardian TextEgyp" w:hAnsi="Guardian TextEgyp" w:cs="Guardian TextEgyp"/>
      <w:color w:val="000000"/>
      <w:sz w:val="24"/>
      <w:szCs w:val="24"/>
    </w:rPr>
  </w:style>
  <w:style w:type="paragraph" w:styleId="NoSpacing">
    <w:name w:val="No Spacing"/>
    <w:uiPriority w:val="1"/>
    <w:qFormat/>
    <w:rsid w:val="002E0FDA"/>
    <w:rPr>
      <w:rFonts w:ascii="Arial" w:eastAsiaTheme="minorHAnsi" w:hAnsi="Arial" w:cstheme="minorBidi"/>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10</Pages>
  <Words>4257</Words>
  <Characters>24266</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5</cp:revision>
  <cp:lastPrinted>2012-05-03T22:44:00Z</cp:lastPrinted>
  <dcterms:created xsi:type="dcterms:W3CDTF">2015-04-16T03:13:00Z</dcterms:created>
  <dcterms:modified xsi:type="dcterms:W3CDTF">2015-04-16T03:41:00Z</dcterms:modified>
</cp:coreProperties>
</file>